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0"/>
        </w:rPr>
      </w:pPr>
      <w:r>
        <w:rPr>
          <w:rFonts w:eastAsia="黑体"/>
          <w:b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-190500</wp:posOffset>
            </wp:positionH>
            <wp:positionV relativeFrom="paragraph">
              <wp:posOffset>1433830</wp:posOffset>
            </wp:positionV>
            <wp:extent cx="5911215" cy="1143000"/>
            <wp:effectExtent l="0" t="0" r="13335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w:drawing>
          <wp:inline distT="0" distB="0" distL="114300" distR="114300">
            <wp:extent cx="1016000" cy="1016000"/>
            <wp:effectExtent l="0" t="0" r="1270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0"/>
          <w:lang w:val="en-US" w:eastAsia="zh-CN"/>
        </w:rPr>
        <w:t xml:space="preserve">                                               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成  绩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</w:t>
      </w: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rPr>
          <w:rFonts w:eastAsia="宋体"/>
          <w:kern w:val="2"/>
          <w:sz w:val="20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tabs>
          <w:tab w:val="left" w:pos="356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kern w:val="2"/>
          <w:sz w:val="52"/>
          <w:szCs w:val="52"/>
          <w:lang w:val="en-US" w:eastAsia="zh-CN" w:bidi="ar-SA"/>
        </w:rPr>
      </w:pPr>
      <w:r>
        <w:rPr>
          <w:rFonts w:hint="eastAsia" w:ascii="黑体" w:hAnsi="黑体" w:eastAsia="黑体" w:cs="黑体"/>
          <w:kern w:val="2"/>
          <w:sz w:val="52"/>
          <w:szCs w:val="52"/>
          <w:lang w:val="en-US" w:eastAsia="zh-CN" w:bidi="ar-SA"/>
        </w:rPr>
        <w:t>模式识别与机器学习实验报告</w:t>
      </w:r>
    </w:p>
    <w:p>
      <w:pPr>
        <w:tabs>
          <w:tab w:val="left" w:pos="3561"/>
        </w:tabs>
        <w:jc w:val="center"/>
        <w:rPr>
          <w:rFonts w:hint="eastAsia" w:ascii="黑体" w:hAnsi="黑体" w:eastAsia="黑体" w:cs="黑体"/>
          <w:b/>
          <w:bCs/>
          <w:kern w:val="2"/>
          <w:sz w:val="52"/>
          <w:szCs w:val="52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52"/>
          <w:szCs w:val="52"/>
          <w:lang w:val="en-US" w:eastAsia="zh-CN" w:bidi="ar-SA"/>
        </w:rPr>
        <w:t>实验一 线性分类感知器学习</w:t>
      </w: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hint="eastAsia" w:ascii="宋体" w:hAnsi="宋体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tabs>
          <w:tab w:val="left" w:pos="508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>院</w:t>
      </w:r>
      <w:r>
        <w:rPr>
          <w:rFonts w:hint="eastAsia" w:ascii="宋体" w:hAnsi="宋体"/>
          <w:b/>
          <w:bCs/>
          <w:sz w:val="36"/>
          <w:szCs w:val="36"/>
          <w:lang w:eastAsia="zh-CN"/>
        </w:rPr>
        <w:t>（</w:t>
      </w:r>
      <w:r>
        <w:rPr>
          <w:rFonts w:hint="eastAsia" w:ascii="宋体" w:hAnsi="宋体"/>
          <w:b/>
          <w:bCs/>
          <w:sz w:val="36"/>
          <w:szCs w:val="36"/>
        </w:rPr>
        <w:t>系</w:t>
      </w:r>
      <w:r>
        <w:rPr>
          <w:rFonts w:hint="eastAsia" w:ascii="宋体" w:hAnsi="宋体"/>
          <w:b/>
          <w:bCs/>
          <w:sz w:val="36"/>
          <w:szCs w:val="36"/>
          <w:lang w:eastAsia="zh-CN"/>
        </w:rPr>
        <w:t>）</w:t>
      </w:r>
      <w:r>
        <w:rPr>
          <w:rFonts w:hint="eastAsia" w:ascii="宋体" w:hAnsi="宋体"/>
          <w:b/>
          <w:bCs/>
          <w:sz w:val="36"/>
          <w:szCs w:val="36"/>
        </w:rPr>
        <w:t>名称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>自动化科学与电气工程学院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</w:rPr>
        <w:t>专 业 名 称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>自动控制与模式识别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3" w:firstLineChars="200"/>
        <w:textAlignment w:val="auto"/>
        <w:outlineLvl w:val="9"/>
        <w:rPr>
          <w:rFonts w:ascii="宋体" w:hAnsi="宋体"/>
          <w:b/>
          <w:bCs/>
          <w:sz w:val="36"/>
          <w:szCs w:val="36"/>
          <w:u w:val="single"/>
        </w:rPr>
      </w:pP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学 生 姓 名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 xml:space="preserve">     雷诗叶 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722"/>
        <w:jc w:val="both"/>
        <w:textAlignment w:val="auto"/>
        <w:outlineLvl w:val="9"/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</w:pPr>
      <w:r>
        <w:rPr>
          <w:rFonts w:hint="eastAsia" w:ascii="宋体" w:hAnsi="宋体"/>
          <w:b/>
          <w:bCs/>
          <w:sz w:val="36"/>
          <w:szCs w:val="36"/>
          <w:lang w:val="en-US" w:eastAsia="zh-CN"/>
        </w:rPr>
        <w:t>学 生 学 号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</w:t>
      </w:r>
      <w:r>
        <w:rPr>
          <w:rFonts w:hint="eastAsia" w:ascii="宋体" w:hAnsi="宋体"/>
          <w:b/>
          <w:bCs/>
          <w:sz w:val="36"/>
          <w:szCs w:val="36"/>
          <w:u w:val="single"/>
          <w:lang w:val="en-US" w:eastAsia="zh-CN"/>
        </w:rPr>
        <w:t xml:space="preserve">    15031148 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       </w:t>
      </w:r>
    </w:p>
    <w:p>
      <w:pPr>
        <w:spacing w:before="312" w:beforeLines="100" w:after="312" w:afterLines="100" w:line="120" w:lineRule="auto"/>
        <w:jc w:val="center"/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201</w:t>
      </w:r>
      <w:r>
        <w:rPr>
          <w:rFonts w:hint="eastAsia" w:ascii="宋体" w:hAnsi="宋体" w:cs="宋体"/>
          <w:b/>
          <w:bCs/>
          <w:sz w:val="36"/>
          <w:szCs w:val="36"/>
          <w:u w:val="none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年</w:t>
      </w:r>
      <w:r>
        <w:rPr>
          <w:rFonts w:hint="eastAsia" w:ascii="宋体" w:hAnsi="宋体" w:cs="宋体"/>
          <w:b/>
          <w:bCs/>
          <w:sz w:val="36"/>
          <w:szCs w:val="36"/>
          <w:u w:val="none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月</w:t>
      </w:r>
      <w:r>
        <w:rPr>
          <w:rFonts w:hint="eastAsia" w:ascii="宋体" w:hAnsi="宋体" w:cs="宋体"/>
          <w:b/>
          <w:bCs/>
          <w:sz w:val="36"/>
          <w:szCs w:val="36"/>
          <w:u w:val="none"/>
          <w:lang w:val="en-US" w:eastAsia="zh-CN"/>
        </w:rPr>
        <w:t>30</w:t>
      </w:r>
      <w:r>
        <w:rPr>
          <w:rFonts w:hint="eastAsia" w:ascii="宋体" w:hAnsi="宋体" w:eastAsia="宋体" w:cs="宋体"/>
          <w:b/>
          <w:bCs/>
          <w:sz w:val="36"/>
          <w:szCs w:val="36"/>
          <w:u w:val="none"/>
          <w:lang w:val="en-US" w:eastAsia="zh-CN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  <w:t>目录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590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 w:val="0"/>
          <w:bCs w:val="0"/>
          <w:kern w:val="2"/>
          <w:sz w:val="24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4024_WPSOffice_Type2"/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_Toc10986_WPSOffice_Level1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f36b7ebf-a91f-4b59-93d1-a3f9e746a363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一、 实验绪论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1" w:name="_Toc10986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1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_Toc24024_WPSOffice_Level1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3acafd59-acdf-46e7-a692-77022d7db3f9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二、 实验原理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2" w:name="_Toc24024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2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_Toc7615_WPSOffice_Level1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7bce0109-3028-4c0c-b58a-290ce970701e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三、 实验内容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3" w:name="_Toc7615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3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_Toc24024_WPSOffice_Level2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a8f68601-1f6f-42cc-9c53-b1b92eb230ff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3.1步骤一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4" w:name="_Toc24024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1</w:t>
          </w:r>
          <w:bookmarkEnd w:id="4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_Toc7615_WPSOffice_Level2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931fa99e-3e0f-4610-8598-7985a7349985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3.2步骤二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5" w:name="_Toc7615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4</w:t>
          </w:r>
          <w:bookmarkEnd w:id="5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_Toc20262_WPSOffice_Level2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2323df4b-d2a4-43d8-85a6-ce0fa4395dd7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3.3步骤三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6" w:name="_Toc20262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4</w:t>
          </w:r>
          <w:bookmarkEnd w:id="6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2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_Toc21770_WPSOffice_Level2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232a59fe-944c-4dbb-b5ab-1dd3545a5990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3.4讨论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7" w:name="_Toc21770_WPSOffice_Level2Page"/>
          <w:r>
            <w:rPr>
              <w:rFonts w:ascii="Times New Roman" w:hAnsi="Times New Roman" w:eastAsia="宋体"/>
              <w:b w:val="0"/>
              <w:bCs w:val="0"/>
              <w:sz w:val="24"/>
            </w:rPr>
            <w:t>5</w:t>
          </w:r>
          <w:bookmarkEnd w:id="7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</w:p>
        <w:p>
          <w:pPr>
            <w:pStyle w:val="11"/>
            <w:keepNext w:val="0"/>
            <w:keepLines w:val="0"/>
            <w:pageBreakBefore w:val="0"/>
            <w:widowControl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ind w:right="0" w:rightChars="0" w:firstLine="0" w:firstLineChars="0"/>
            <w:jc w:val="left"/>
            <w:textAlignment w:val="auto"/>
            <w:outlineLvl w:val="9"/>
            <w:rPr>
              <w:rFonts w:ascii="Times New Roman" w:hAnsi="Times New Roman" w:eastAsia="宋体"/>
              <w:b w:val="0"/>
              <w:bCs w:val="0"/>
              <w:sz w:val="24"/>
            </w:rPr>
          </w:pP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begin"/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instrText xml:space="preserve"> HYPERLINK \l _Toc20262_WPSOffice_Level1 </w:instrText>
          </w:r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separate"/>
          </w:r>
          <w:sdt>
            <w:sdt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  <w:id w:val="147456590"/>
              <w:placeholder>
                <w:docPart w:val="{16fea383-0402-41ac-a9e7-f34d3f44acd9}"/>
              </w:placeholder>
            </w:sdtPr>
            <w:sdtEndPr>
              <w:rPr>
                <w:rFonts w:ascii="Times New Roman" w:hAnsi="Times New Roman" w:eastAsia="宋体" w:cstheme="minorBidi"/>
                <w:b w:val="0"/>
                <w:bCs w:val="0"/>
                <w:kern w:val="2"/>
                <w:sz w:val="2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Times New Roman" w:hAnsi="Times New Roman" w:eastAsia="宋体" w:cs="黑体"/>
                  <w:b w:val="0"/>
                  <w:bCs w:val="0"/>
                  <w:sz w:val="24"/>
                </w:rPr>
                <w:t>四、 实验结论与收获</w:t>
              </w:r>
            </w:sdtContent>
          </w:sdt>
          <w:r>
            <w:rPr>
              <w:rFonts w:ascii="Times New Roman" w:hAnsi="Times New Roman" w:eastAsia="宋体"/>
              <w:b w:val="0"/>
              <w:bCs w:val="0"/>
              <w:sz w:val="24"/>
            </w:rPr>
            <w:tab/>
          </w:r>
          <w:bookmarkStart w:id="8" w:name="_Toc20262_WPSOffice_Level1Page"/>
          <w:r>
            <w:rPr>
              <w:rFonts w:ascii="Times New Roman" w:hAnsi="Times New Roman" w:eastAsia="宋体"/>
              <w:b w:val="0"/>
              <w:bCs w:val="0"/>
              <w:sz w:val="24"/>
            </w:rPr>
            <w:t>5</w:t>
          </w:r>
          <w:bookmarkEnd w:id="8"/>
          <w:r>
            <w:rPr>
              <w:rFonts w:ascii="Times New Roman" w:hAnsi="Times New Roman" w:eastAsia="宋体"/>
              <w:b w:val="0"/>
              <w:bCs w:val="0"/>
              <w:sz w:val="24"/>
            </w:rPr>
            <w:fldChar w:fldCharType="end"/>
          </w:r>
          <w:bookmarkEnd w:id="0"/>
        </w:p>
      </w:sdtContent>
    </w:sdt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44"/>
          <w:szCs w:val="4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9" w:name="_Toc10986_WPSOffice_Level1"/>
      <w:bookmarkStart w:id="10" w:name="_Toc5224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实验绪论</w:t>
      </w:r>
      <w:bookmarkEnd w:id="9"/>
      <w:bookmarkEnd w:id="10"/>
    </w:p>
    <w:p>
      <w:pPr>
        <w:spacing w:line="360" w:lineRule="auto"/>
        <w:ind w:firstLine="480" w:firstLineChars="200"/>
        <w:rPr>
          <w:rFonts w:hint="eastAsia"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线性感知器是两类分类器最简单的学习算法之一。给定一组d维数据点，属于两类，</w:t>
      </w:r>
      <w:r>
        <w:rPr>
          <w:rFonts w:hint="default" w:ascii="Times New Roman" w:hAnsi="Times New Roman" w:eastAsia="宋体" w:cs="Times New Roman"/>
          <w:sz w:val="24"/>
        </w:rPr>
        <w:t>ω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1</w:t>
      </w:r>
      <w:r>
        <w:rPr>
          <w:rFonts w:hint="eastAsia" w:ascii="Times New Roman" w:hAnsi="Times New Roman" w:eastAsia="宋体"/>
          <w:sz w:val="24"/>
        </w:rPr>
        <w:t>和</w:t>
      </w:r>
      <w:r>
        <w:rPr>
          <w:rFonts w:hint="default" w:ascii="Times New Roman" w:hAnsi="Times New Roman" w:eastAsia="宋体" w:cs="Times New Roman"/>
          <w:sz w:val="24"/>
        </w:rPr>
        <w:t>ω</w:t>
      </w:r>
      <w:r>
        <w:rPr>
          <w:rFonts w:hint="default" w:ascii="Times New Roman" w:hAnsi="Times New Roman" w:eastAsia="宋体" w:cs="Times New Roman"/>
          <w:sz w:val="24"/>
          <w:lang w:val="en-US" w:eastAsia="zh-CN"/>
        </w:rPr>
        <w:t>2</w:t>
      </w:r>
      <w:r>
        <w:rPr>
          <w:rFonts w:hint="eastAsia" w:ascii="Times New Roman" w:hAnsi="Times New Roman" w:eastAsia="宋体"/>
          <w:sz w:val="24"/>
        </w:rPr>
        <w:t>，算法试图找出两者样本之间的线性分离超平面。如果样本在一维</w:t>
      </w:r>
      <w:r>
        <w:rPr>
          <w:rFonts w:hint="eastAsia" w:ascii="Times New Roman" w:hAnsi="Times New Roman" w:eastAsia="宋体"/>
          <w:sz w:val="24"/>
          <w:lang w:eastAsia="zh-CN"/>
        </w:rPr>
        <w:t>、</w:t>
      </w:r>
      <w:r>
        <w:rPr>
          <w:rFonts w:hint="eastAsia" w:ascii="Times New Roman" w:hAnsi="Times New Roman" w:eastAsia="宋体"/>
          <w:sz w:val="24"/>
        </w:rPr>
        <w:t>二维或三维中，则分离超平面将分别是点</w:t>
      </w:r>
      <w:r>
        <w:rPr>
          <w:rFonts w:hint="eastAsia" w:ascii="Times New Roman" w:hAnsi="Times New Roman" w:eastAsia="宋体"/>
          <w:sz w:val="24"/>
          <w:lang w:eastAsia="zh-CN"/>
        </w:rPr>
        <w:t>、</w:t>
      </w:r>
      <w:r>
        <w:rPr>
          <w:rFonts w:hint="eastAsia" w:ascii="Times New Roman" w:hAnsi="Times New Roman" w:eastAsia="宋体"/>
          <w:sz w:val="24"/>
        </w:rPr>
        <w:t>线或</w:t>
      </w:r>
      <w:r>
        <w:rPr>
          <w:rFonts w:hint="eastAsia" w:ascii="Times New Roman" w:hAnsi="Times New Roman" w:eastAsia="宋体"/>
          <w:sz w:val="24"/>
          <w:lang w:val="en-US" w:eastAsia="zh-CN"/>
        </w:rPr>
        <w:t>平面</w:t>
      </w:r>
      <w:r>
        <w:rPr>
          <w:rFonts w:hint="eastAsia" w:ascii="Times New Roman" w:hAnsi="Times New Roman" w:eastAsia="宋体"/>
          <w:sz w:val="24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本次实验采用</w:t>
      </w:r>
      <w:r>
        <w:rPr>
          <w:rFonts w:hint="eastAsia" w:ascii="Times New Roman" w:hAnsi="Times New Roman" w:eastAsia="宋体"/>
          <w:sz w:val="24"/>
        </w:rPr>
        <w:t>梯度下降算法来达成解决方案。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1" w:name="_Toc24024_WPSOffice_Level1"/>
      <w:bookmarkStart w:id="12" w:name="_Toc767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实验原理</w:t>
      </w:r>
      <w:bookmarkEnd w:id="11"/>
      <w:bookmarkEnd w:id="1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假设两个类别的样本在特征空间中是线性可分的，即存在一个平面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25" o:spt="75" type="#_x0000_t75" style="height:19pt;width:117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其中，</w:t>
      </w:r>
      <w:r>
        <w:rPr>
          <w:rFonts w:hint="eastAsia" w:ascii="宋体" w:hAnsi="宋体" w:eastAsia="宋体" w:cs="宋体"/>
          <w:kern w:val="0"/>
          <w:position w:val="-10"/>
          <w:sz w:val="24"/>
          <w:szCs w:val="24"/>
          <w:lang w:eastAsia="zh-CN"/>
        </w:rPr>
        <w:object>
          <v:shape id="_x0000_i1026" o:spt="75" type="#_x0000_t75" style="height:18pt;width:78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这样属于第一类的所有样本都在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的一侧，并且第二类的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样本都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一侧。如果这样的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存在，感知器算法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目标是给定数据点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时得到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一个这样的平面。一旦学习完成，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确定后，很容易对新的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数据点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进行分类，因为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平面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一侧的点会导致</w:t>
      </w: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27" o:spt="75" type="#_x0000_t75" style="height:19pt;width:98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5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为正值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，而另一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侧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的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点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则会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得到负值。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根据感知器学习原理，权向量</w:t>
      </w:r>
      <w:r>
        <w:rPr>
          <w:rFonts w:hint="eastAsia" w:ascii="宋体" w:hAnsi="宋体" w:eastAsia="宋体" w:cs="宋体"/>
          <w:kern w:val="0"/>
          <w:position w:val="-6"/>
          <w:sz w:val="24"/>
          <w:szCs w:val="24"/>
          <w:lang w:eastAsia="zh-CN"/>
        </w:rPr>
        <w:object>
          <v:shape id="_x0000_i1028" o:spt="75" type="#_x0000_t75" style="height:16pt;width:38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可以被扩展为：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宋体" w:hAnsi="宋体" w:eastAsia="宋体" w:cs="宋体"/>
          <w:kern w:val="0"/>
          <w:position w:val="-32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29" o:spt="75" type="#_x0000_t75" style="height:20pt;width:150.95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特征向量可被扩展为：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12"/>
          <w:sz w:val="24"/>
          <w:szCs w:val="24"/>
          <w:lang w:eastAsia="zh-CN"/>
        </w:rPr>
        <w:object>
          <v:shape id="_x0000_i1030" o:spt="75" type="#_x0000_t75" style="height:20pt;width:12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21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因此，分类平面可以被表示为。算法对权向量的更新规则为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center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66"/>
          <w:sz w:val="24"/>
          <w:szCs w:val="24"/>
          <w:lang w:eastAsia="zh-CN"/>
        </w:rPr>
        <w:object>
          <v:shape id="_x0000_i1031" o:spt="75" alt="" type="#_x0000_t75" style="height:72pt;width:233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其中，p为学习率，可被适当改变以提高过程收敛速度。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contextualSpacing/>
        <w:jc w:val="both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bookmarkStart w:id="13" w:name="_Toc3498"/>
      <w:bookmarkStart w:id="14" w:name="_Toc7615_WPSOffice_Level1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实验内容</w:t>
      </w:r>
      <w:bookmarkEnd w:id="13"/>
      <w:bookmarkEnd w:id="1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5" w:name="_Toc19928"/>
      <w:bookmarkStart w:id="16" w:name="_Toc2272"/>
      <w:bookmarkStart w:id="17" w:name="_Toc26594"/>
      <w:bookmarkStart w:id="18" w:name="_Toc24024_WPSOffice_Level2"/>
      <w:bookmarkStart w:id="19" w:name="_Toc2957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3.1</w:t>
      </w:r>
      <w:bookmarkEnd w:id="15"/>
      <w:bookmarkEnd w:id="16"/>
      <w:bookmarkEnd w:id="1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步骤一</w:t>
      </w:r>
      <w:bookmarkEnd w:id="18"/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建立维度为2的x1，x2两类样本，各有数据点60个。流程图如下：</w:t>
      </w:r>
    </w:p>
    <w:p>
      <w:pPr>
        <w:jc w:val="center"/>
        <w:rPr>
          <w:rFonts w:hint="eastAsia" w:eastAsia="宋体"/>
          <w:lang w:eastAsia="zh-CN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33040" cy="5989320"/>
            <wp:effectExtent l="0" t="0" r="0" b="0"/>
            <wp:docPr id="30" name="图片 30" descr="感知器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感知器流程图"/>
                    <pic:cNvPicPr>
                      <a:picLocks noChangeAspect="1"/>
                    </pic:cNvPicPr>
                  </pic:nvPicPr>
                  <pic:blipFill>
                    <a:blip r:embed="rId25"/>
                    <a:srcRect l="592" t="6875" r="837" b="4185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598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程序实现流程图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将权向量初始化（w=[1 1 1]），选择迭代次数x = 500，学习率n = 0.01，安全裕度s = 0.2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运行程序得到最终结果，如下图。蓝线为分类结果，根据权向量的变化图可以看出迭代到82次左右即基本保持不变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分类结果</w:t>
      </w:r>
    </w:p>
    <w:p>
      <w:pPr>
        <w:jc w:val="center"/>
      </w:pPr>
      <w:bookmarkStart w:id="20" w:name="_Toc9569"/>
      <w:r>
        <w:drawing>
          <wp:inline distT="0" distB="0" distL="114300" distR="114300">
            <wp:extent cx="3561715" cy="2400300"/>
            <wp:effectExtent l="0" t="0" r="635" b="0"/>
            <wp:docPr id="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权向量变化示意图</w:t>
      </w:r>
    </w:p>
    <w:p>
      <w:pPr>
        <w:jc w:val="center"/>
      </w:pPr>
      <w:r>
        <w:drawing>
          <wp:inline distT="0" distB="0" distL="114300" distR="114300">
            <wp:extent cx="3390265" cy="2266950"/>
            <wp:effectExtent l="0" t="0" r="635" b="0"/>
            <wp:docPr id="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2 </w:t>
      </w:r>
      <w:bookmarkEnd w:id="2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初始程序运行结果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1" w:name="_Toc27151"/>
      <w:bookmarkStart w:id="22" w:name="_Toc26244"/>
      <w:bookmarkStart w:id="23" w:name="_Toc2759"/>
      <w:bookmarkStart w:id="24" w:name="_Toc7615_WPSOffice_Level2"/>
      <w:bookmarkStart w:id="25" w:name="_Toc21705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3.2</w:t>
      </w:r>
      <w:bookmarkEnd w:id="21"/>
      <w:bookmarkEnd w:id="22"/>
      <w:bookmarkEnd w:id="23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步骤二</w:t>
      </w:r>
      <w:bookmarkEnd w:id="24"/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改变数据集，增大数据集类内差异，重复上述实验（迭代次数x = 500，安全裕量s = 0，学习速率n = 0.01），结果</w:t>
      </w:r>
      <w:r>
        <w:rPr>
          <w:rFonts w:hint="eastAsia"/>
          <w:sz w:val="24"/>
          <w:szCs w:val="24"/>
          <w:lang w:val="en-US" w:eastAsia="zh-CN"/>
        </w:rPr>
        <w:t>如图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。由权向量变化示意图可知迭代到83次左右基本保持不变</w:t>
      </w:r>
    </w:p>
    <w:p>
      <w:pPr>
        <w:jc w:val="both"/>
      </w:pPr>
      <w:bookmarkStart w:id="26" w:name="_Toc27132"/>
    </w:p>
    <w:p>
      <w:pPr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分类结果</w:t>
      </w:r>
    </w:p>
    <w:p>
      <w:pPr>
        <w:jc w:val="center"/>
      </w:pPr>
      <w:r>
        <w:drawing>
          <wp:inline distT="0" distB="0" distL="114300" distR="114300">
            <wp:extent cx="3390265" cy="2284730"/>
            <wp:effectExtent l="0" t="0" r="635" b="1270"/>
            <wp:docPr id="1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0265" cy="2284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权向量改变示意图</w:t>
      </w:r>
    </w:p>
    <w:p>
      <w:pPr>
        <w:jc w:val="center"/>
      </w:pPr>
      <w:r>
        <w:drawing>
          <wp:inline distT="0" distB="0" distL="114300" distR="114300">
            <wp:extent cx="3304540" cy="2209800"/>
            <wp:effectExtent l="0" t="0" r="1016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图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3.3 </w:t>
      </w:r>
      <w:bookmarkEnd w:id="26"/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7" w:name="_Toc20262_WPSOffice_Level2"/>
      <w:bookmarkStart w:id="28" w:name="_Toc19247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3.3步骤三</w:t>
      </w:r>
      <w:bookmarkEnd w:id="27"/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改变步骤二中学习率（迭代次数x = 500，安全裕度s = 0不变），重复上述实验。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学习速率n = 0.02，结果如下：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503170" cy="1643380"/>
            <wp:effectExtent l="0" t="0" r="1143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1643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5855" cy="1602105"/>
            <wp:effectExtent l="0" t="0" r="444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95855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迭代次数为71次左右时权向量基本保持不变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2、学习速率n = 0.05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2504440" cy="1724660"/>
            <wp:effectExtent l="0" t="0" r="1016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39035" cy="1630680"/>
            <wp:effectExtent l="0" t="0" r="18415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迭代次数为64次左右时权向量基本保持不变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3、学习速率n = 0.1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489835" cy="1715135"/>
            <wp:effectExtent l="0" t="0" r="5715" b="184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1715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01900" cy="1673225"/>
            <wp:effectExtent l="0" t="0" r="12700" b="31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迭代次数为62次左右时权向量基本保持不变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结果如下表所示（附上对于步骤一数据，学习率与收敛速度的关系）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学习率n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01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.02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0.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0</w:t>
            </w:r>
            <w:r>
              <w:rPr>
                <w:rFonts w:hint="default" w:ascii="Times New Roman" w:hAnsi="Times New Roman" w:cs="Times New Roman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步骤一数据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70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62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步骤二数据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83</w:t>
            </w:r>
          </w:p>
        </w:tc>
        <w:tc>
          <w:tcPr>
            <w:tcW w:w="1704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71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64</w:t>
            </w:r>
          </w:p>
        </w:tc>
        <w:tc>
          <w:tcPr>
            <w:tcW w:w="1705" w:type="dxa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</w:t>
            </w:r>
          </w:p>
        </w:tc>
      </w:tr>
    </w:tbl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表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3.1 </w:t>
      </w:r>
      <w:r>
        <w:rPr>
          <w:rFonts w:hint="eastAsia" w:ascii="Times New Roman" w:hAnsi="Times New Roman" w:cs="Times New Roman" w:eastAsiaTheme="minorEastAsia"/>
          <w:sz w:val="24"/>
          <w:szCs w:val="24"/>
          <w:lang w:val="en-US" w:eastAsia="zh-CN"/>
        </w:rPr>
        <w:t>学习率改变对迭代次数的影响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9" w:name="_Toc24923"/>
      <w:bookmarkStart w:id="30" w:name="_Toc21770_WPSOffice_Level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3.4讨论</w:t>
      </w:r>
      <w:bookmarkEnd w:id="29"/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上述实验中两类数据均是线性可分的，所以可以使用线性分类器的感知器算法进行分类。感知器学习算法的原理及过程在上述描述中均有体现。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常情况下，一次将所有样本都分类正确的几率不大，所以采用固定增量法进行逐步调整。通过改变权向量的初始值、改变单步步长即学习率均可改变收敛速度。为了减少迭代步数，人们还提出了使用可变步长的方法，比如绝对修正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述实验可以简单了解到，两类数据的分布情况也会对算法的学习过程产生影响。比如，对比上述步骤一和步骤二中数据，相对来说步骤一的数据类内相互间距较小，分布较为集中，所以迭代次数比步骤二中较少，收敛速度较快。</w:t>
      </w:r>
      <w:bookmarkStart w:id="36" w:name="_GoBack"/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1" w:name="_Toc20262_WPSOffice_Level1"/>
      <w:bookmarkStart w:id="32" w:name="_Toc6896"/>
      <w:bookmarkStart w:id="33" w:name="_Toc21194"/>
      <w:bookmarkStart w:id="34" w:name="_Toc31523"/>
      <w:bookmarkStart w:id="35" w:name="_Toc5660"/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实验结论与收获</w:t>
      </w:r>
      <w:bookmarkEnd w:id="31"/>
      <w:bookmarkEnd w:id="3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虽然感知器算法比较简单，且适用面较窄，只能解决线性可分的问题，但是对于刚开始接触机器学习的我来说，编写感知器代码确实是一件收获满满的事情。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若样本均为线性可分，则经过有限次迭代后权向量将逐渐收敛。在实验中发现有很多参数会影响权向量的收敛速率。实验发现收敛速率会随着学习速率的增大而加快。但当学习速率过大时权向量将不会收敛，此时权向量将会在收敛值附近来回跳动。安全裕量也会影响线性分类结果的好坏。因此根据样本合理的设置学习速率与安全裕量，不仅可以加快权向量收敛速率，而且可以使分类结果变得更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通过本次感知器实验，我对于线性分类的基本原理有了更加深入的了解，也增强了我解决此类问题的信心与能力。</w:t>
      </w:r>
      <w:bookmarkEnd w:id="33"/>
      <w:bookmarkEnd w:id="34"/>
      <w:bookmarkEnd w:id="35"/>
    </w:p>
    <w:sectPr>
      <w:headerReference r:id="rId6" w:type="default"/>
      <w:footerReference r:id="rId7" w:type="default"/>
      <w:pgSz w:w="11906" w:h="16838"/>
      <w:pgMar w:top="1440" w:right="1800" w:bottom="1440" w:left="1800" w:header="1077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Cjsqf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1"/>
      </w:pBdr>
      <w:jc w:val="center"/>
      <w:rPr>
        <w:rFonts w:hint="default" w:ascii="Times New Roman" w:hAnsi="Times New Roman" w:cs="Times New Roman"/>
        <w:sz w:val="21"/>
        <w:szCs w:val="24"/>
      </w:rPr>
    </w:pPr>
    <w:r>
      <w:rPr>
        <w:rFonts w:hint="default" w:ascii="Times New Roman" w:hAnsi="Times New Roman" w:cs="Times New Roman"/>
        <w:sz w:val="21"/>
        <w:szCs w:val="24"/>
      </w:rPr>
      <w:t>Experiment 1 Perceptron Learning toward Linear Classification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C62A65"/>
    <w:multiLevelType w:val="multilevel"/>
    <w:tmpl w:val="8AC62A65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BC259893"/>
    <w:multiLevelType w:val="singleLevel"/>
    <w:tmpl w:val="BC25989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A14DB3D"/>
    <w:multiLevelType w:val="singleLevel"/>
    <w:tmpl w:val="5A14DB3D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03F1"/>
    <w:rsid w:val="185F3AF0"/>
    <w:rsid w:val="1CF50881"/>
    <w:rsid w:val="20654A89"/>
    <w:rsid w:val="25E40B5B"/>
    <w:rsid w:val="25F14440"/>
    <w:rsid w:val="35795613"/>
    <w:rsid w:val="36FF39ED"/>
    <w:rsid w:val="378F5F81"/>
    <w:rsid w:val="3E3A7864"/>
    <w:rsid w:val="43875459"/>
    <w:rsid w:val="444F6ED4"/>
    <w:rsid w:val="52627DAB"/>
    <w:rsid w:val="536C538B"/>
    <w:rsid w:val="55ED0626"/>
    <w:rsid w:val="562B4BE9"/>
    <w:rsid w:val="626E1A5B"/>
    <w:rsid w:val="65784D8E"/>
    <w:rsid w:val="6C4906EA"/>
    <w:rsid w:val="6D7321D6"/>
    <w:rsid w:val="70F57D97"/>
    <w:rsid w:val="71232590"/>
    <w:rsid w:val="729E3E4C"/>
    <w:rsid w:val="7BBB69C4"/>
    <w:rsid w:val="7CC070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Default"/>
    <w:qFormat/>
    <w:uiPriority w:val="0"/>
    <w:pPr>
      <w:widowControl w:val="0"/>
      <w:autoSpaceDE w:val="0"/>
      <w:autoSpaceDN w:val="0"/>
      <w:adjustRightInd w:val="0"/>
    </w:pPr>
    <w:rPr>
      <w:rFonts w:ascii="Times New Roman" w:hAnsi="Times New Roman" w:cs="Times New Roman" w:eastAsiaTheme="minorEastAsia"/>
      <w:color w:val="000000"/>
      <w:kern w:val="0"/>
      <w:sz w:val="24"/>
      <w:szCs w:val="24"/>
      <w:lang w:val="en-US" w:eastAsia="zh-CN" w:bidi="ar-SA"/>
    </w:r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9" Type="http://schemas.openxmlformats.org/officeDocument/2006/relationships/glossaryDocument" Target="glossary/document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png"/><Relationship Id="rId32" Type="http://schemas.openxmlformats.org/officeDocument/2006/relationships/image" Target="media/image17.png"/><Relationship Id="rId31" Type="http://schemas.openxmlformats.org/officeDocument/2006/relationships/image" Target="media/image16.png"/><Relationship Id="rId30" Type="http://schemas.openxmlformats.org/officeDocument/2006/relationships/image" Target="media/image15.png"/><Relationship Id="rId3" Type="http://schemas.openxmlformats.org/officeDocument/2006/relationships/header" Target="header1.xml"/><Relationship Id="rId29" Type="http://schemas.openxmlformats.org/officeDocument/2006/relationships/image" Target="media/image14.png"/><Relationship Id="rId28" Type="http://schemas.openxmlformats.org/officeDocument/2006/relationships/image" Target="media/image13.png"/><Relationship Id="rId27" Type="http://schemas.openxmlformats.org/officeDocument/2006/relationships/image" Target="media/image12.png"/><Relationship Id="rId26" Type="http://schemas.openxmlformats.org/officeDocument/2006/relationships/image" Target="media/image11.png"/><Relationship Id="rId25" Type="http://schemas.openxmlformats.org/officeDocument/2006/relationships/image" Target="media/image10.png"/><Relationship Id="rId24" Type="http://schemas.openxmlformats.org/officeDocument/2006/relationships/image" Target="media/image9.wmf"/><Relationship Id="rId23" Type="http://schemas.openxmlformats.org/officeDocument/2006/relationships/oleObject" Target="embeddings/oleObject7.bin"/><Relationship Id="rId22" Type="http://schemas.openxmlformats.org/officeDocument/2006/relationships/image" Target="media/image8.wmf"/><Relationship Id="rId21" Type="http://schemas.openxmlformats.org/officeDocument/2006/relationships/oleObject" Target="embeddings/oleObject6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6.wmf"/><Relationship Id="rId17" Type="http://schemas.openxmlformats.org/officeDocument/2006/relationships/oleObject" Target="embeddings/oleObject4.bin"/><Relationship Id="rId16" Type="http://schemas.openxmlformats.org/officeDocument/2006/relationships/image" Target="media/image5.wmf"/><Relationship Id="rId15" Type="http://schemas.openxmlformats.org/officeDocument/2006/relationships/oleObject" Target="embeddings/oleObject3.bin"/><Relationship Id="rId14" Type="http://schemas.openxmlformats.org/officeDocument/2006/relationships/image" Target="media/image4.wmf"/><Relationship Id="rId13" Type="http://schemas.openxmlformats.org/officeDocument/2006/relationships/oleObject" Target="embeddings/oleObject2.bin"/><Relationship Id="rId12" Type="http://schemas.openxmlformats.org/officeDocument/2006/relationships/image" Target="media/image3.wmf"/><Relationship Id="rId11" Type="http://schemas.openxmlformats.org/officeDocument/2006/relationships/oleObject" Target="embeddings/oleObject1.bin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36b7ebf-a91f-4b59-93d1-a3f9e746a3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36b7ebf-a91f-4b59-93d1-a3f9e746a3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cafd59-acdf-46e7-a692-77022d7db3f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cafd59-acdf-46e7-a692-77022d7db3f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ce0109-3028-4c0c-b58a-290ce97070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ce0109-3028-4c0c-b58a-290ce97070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f68601-1f6f-42cc-9c53-b1b92eb23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f68601-1f6f-42cc-9c53-b1b92eb23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31fa99e-3e0f-4610-8598-7985a73499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1fa99e-3e0f-4610-8598-7985a73499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23df4b-d2a4-43d8-85a6-ce0fa4395d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23df4b-d2a4-43d8-85a6-ce0fa4395d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32a59fe-944c-4dbb-b5ab-1dd3545a59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32a59fe-944c-4dbb-b5ab-1dd3545a59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6fea383-0402-41ac-a9e7-f34d3f44acd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6fea383-0402-41ac-a9e7-f34d3f44acd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ht</dc:creator>
  <cp:lastModifiedBy>Leaves</cp:lastModifiedBy>
  <dcterms:modified xsi:type="dcterms:W3CDTF">2018-05-02T09:51:12Z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