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Лебеденко</w:t>
      </w:r>
      <w:r>
        <w:t xml:space="preserve"> </w:t>
      </w:r>
      <w:r>
        <w:t xml:space="preserve">Елена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Установка Linux на VirtualBox</w:t>
      </w:r>
    </w:p>
    <w:p>
      <w:pPr>
        <w:numPr>
          <w:ilvl w:val="0"/>
          <w:numId w:val="1001"/>
        </w:numPr>
        <w:pStyle w:val="Compact"/>
      </w:pPr>
      <w:r>
        <w:t xml:space="preserve">Установка необходимого ПО</w:t>
      </w:r>
    </w:p>
    <w:p>
      <w:pPr>
        <w:numPr>
          <w:ilvl w:val="0"/>
          <w:numId w:val="1001"/>
        </w:numPr>
        <w:pStyle w:val="Compact"/>
      </w:pPr>
      <w:r>
        <w:t xml:space="preserve">Первоначальная настройка ОС для дальнейшей работы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Теоретическое введение</w:t>
      </w:r>
    </w:p>
    <w:p>
      <w:pPr>
        <w:pStyle w:val="FirstParagraph"/>
      </w:pPr>
      <w:r>
        <w:t xml:space="preserve">QEMU (Quick Emulator) — это</w:t>
      </w:r>
      <w:r>
        <w:t xml:space="preserve"> </w:t>
      </w:r>
      <w:r>
        <w:t xml:space="preserve">бесплатный универсальный эмулятор и виртуализатор с открытым исходным кодом, который позволяет запускать операционные системы (ОС), созданные для одной архитектуры (например, ARM), на другой (например, x86/Intel). Он эмулирует различное аппаратное обеспечение, позволяя тестировать ПО и запускать виртуальные машины.</w:t>
      </w:r>
    </w:p>
    <w:bookmarkEnd w:id="22"/>
    <w:bookmarkStart w:id="7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Выполнение лабораторной работы</w:t>
      </w:r>
    </w:p>
    <w:bookmarkStart w:id="38" w:name="установка-linux-на-qemu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Установка Linux на qemu</w:t>
      </w:r>
    </w:p>
    <w:p>
      <w:pPr>
        <w:pStyle w:val="FirstParagraph"/>
      </w:pPr>
      <w:r>
        <w:t xml:space="preserve">Создадаю образ виртуального диска: 60GB, формат qcow2</w:t>
      </w:r>
    </w:p>
    <w:p>
      <w:pPr>
        <w:pStyle w:val="CaptionedFigure"/>
      </w:pPr>
      <w:r>
        <w:drawing>
          <wp:inline>
            <wp:extent cx="2667000" cy="1802467"/>
            <wp:effectExtent b="0" l="0" r="0" t="0"/>
            <wp:docPr descr="Создание образа" title="" id="24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1/report/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02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образа</w:t>
      </w:r>
    </w:p>
    <w:p>
      <w:pPr>
        <w:pStyle w:val="BodyText"/>
      </w:pPr>
      <w:r>
        <w:t xml:space="preserve">Запускаю виртуальную машину (с небольшими изменениями в программе)</w:t>
      </w:r>
    </w:p>
    <w:p>
      <w:pPr>
        <w:pStyle w:val="CaptionedFigure"/>
      </w:pPr>
      <w:r>
        <w:drawing>
          <wp:inline>
            <wp:extent cx="2667000" cy="1802467"/>
            <wp:effectExtent b="0" l="0" r="0" t="0"/>
            <wp:docPr descr="Запуск виртуальной машины" title="" id="27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1/report/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02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 виртуальной машины</w:t>
      </w:r>
    </w:p>
    <w:p>
      <w:pPr>
        <w:pStyle w:val="BodyText"/>
      </w:pPr>
      <w:r>
        <w:t xml:space="preserve">Выбераю Start</w:t>
      </w:r>
    </w:p>
    <w:p>
      <w:pPr>
        <w:pStyle w:val="CaptionedFigure"/>
      </w:pPr>
      <w:r>
        <w:drawing>
          <wp:inline>
            <wp:extent cx="2667000" cy="2250281"/>
            <wp:effectExtent b="0" l="0" r="0" t="0"/>
            <wp:docPr descr="Start" title="" id="30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1/report/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250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Start</w:t>
      </w:r>
    </w:p>
    <w:p>
      <w:pPr>
        <w:pStyle w:val="BodyText"/>
      </w:pPr>
      <w:r>
        <w:t xml:space="preserve">Установка системы</w:t>
      </w:r>
    </w:p>
    <w:p>
      <w:pPr>
        <w:pStyle w:val="CaptionedFigure"/>
      </w:pPr>
      <w:r>
        <w:drawing>
          <wp:inline>
            <wp:extent cx="2667000" cy="1499455"/>
            <wp:effectExtent b="0" l="0" r="0" t="0"/>
            <wp:docPr descr="Установка системы" title="" id="33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1/report/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99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системы</w:t>
      </w:r>
    </w:p>
    <w:p>
      <w:pPr>
        <w:pStyle w:val="BodyText"/>
      </w:pPr>
      <w:r>
        <w:t xml:space="preserve">Для удобства создаю командный файл</w:t>
      </w:r>
    </w:p>
    <w:p>
      <w:pPr>
        <w:pStyle w:val="CaptionedFigure"/>
      </w:pPr>
      <w:r>
        <w:drawing>
          <wp:inline>
            <wp:extent cx="2667000" cy="722453"/>
            <wp:effectExtent b="0" l="0" r="0" t="0"/>
            <wp:docPr descr="Создание командного файла" title="" id="36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1/report/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722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командного файла</w:t>
      </w:r>
    </w:p>
    <w:bookmarkEnd w:id="38"/>
    <w:bookmarkStart w:id="42" w:name="обновления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Обновления</w:t>
      </w:r>
    </w:p>
    <w:p>
      <w:pPr>
        <w:pStyle w:val="FirstParagraph"/>
      </w:pPr>
      <w:r>
        <w:t xml:space="preserve">Устанавливаю средства разработки, обновляю пакеты</w:t>
      </w:r>
    </w:p>
    <w:p>
      <w:pPr>
        <w:pStyle w:val="CaptionedFigure"/>
      </w:pPr>
      <w:r>
        <w:drawing>
          <wp:inline>
            <wp:extent cx="2667000" cy="1972998"/>
            <wp:effectExtent b="0" l="0" r="0" t="0"/>
            <wp:docPr descr="Установка git и gh" title="" id="40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1/report/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72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Установка git и gh</w:t>
      </w:r>
    </w:p>
    <w:bookmarkEnd w:id="42"/>
    <w:bookmarkStart w:id="46" w:name="повышение-комфорта-работы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Повышение комфорта работы</w:t>
      </w:r>
    </w:p>
    <w:p>
      <w:pPr>
        <w:pStyle w:val="FirstParagraph"/>
      </w:pPr>
      <w:r>
        <w:t xml:space="preserve">Программы для удобства работы в консоли</w:t>
      </w:r>
    </w:p>
    <w:p>
      <w:pPr>
        <w:pStyle w:val="CaptionedFigure"/>
      </w:pPr>
      <w:r>
        <w:drawing>
          <wp:inline>
            <wp:extent cx="2667000" cy="446596"/>
            <wp:effectExtent b="0" l="0" r="0" t="0"/>
            <wp:docPr descr="Установка tmux" title="" id="44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1/report/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46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Установка tmux</w:t>
      </w:r>
    </w:p>
    <w:bookmarkEnd w:id="46"/>
    <w:bookmarkStart w:id="50" w:name="автоматическое-обновление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Автоматическое обновление</w:t>
      </w:r>
    </w:p>
    <w:p>
      <w:pPr>
        <w:pStyle w:val="FirstParagraph"/>
      </w:pPr>
      <w:r>
        <w:t xml:space="preserve">При необходимости можно использовать автоматическое обновление. Установливаю программное обеспечение, запускаю таймер.</w:t>
      </w:r>
    </w:p>
    <w:p>
      <w:pPr>
        <w:pStyle w:val="CaptionedFigure"/>
      </w:pPr>
      <w:r>
        <w:drawing>
          <wp:inline>
            <wp:extent cx="2667000" cy="271096"/>
            <wp:effectExtent b="0" l="0" r="0" t="0"/>
            <wp:docPr descr="Автоматическое обновление" title="" id="48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1/report/image/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71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Автоматическое обновление</w:t>
      </w:r>
    </w:p>
    <w:bookmarkEnd w:id="50"/>
    <w:bookmarkStart w:id="54" w:name="отключение-selinux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Отключение SELinux</w:t>
      </w:r>
    </w:p>
    <w:p>
      <w:pPr>
        <w:pStyle w:val="FirstParagraph"/>
      </w:pPr>
      <w:r>
        <w:t xml:space="preserve">В файле /etc/selinux/config заменяю значение</w:t>
      </w:r>
    </w:p>
    <w:p>
      <w:pPr>
        <w:pStyle w:val="BodyText"/>
      </w:pPr>
      <w:r>
        <w:t xml:space="preserve">SELINUX=enforcing</w:t>
      </w:r>
    </w:p>
    <w:p>
      <w:pPr>
        <w:pStyle w:val="BodyText"/>
      </w:pPr>
      <w:r>
        <w:t xml:space="preserve">на значение</w:t>
      </w:r>
    </w:p>
    <w:p>
      <w:pPr>
        <w:pStyle w:val="BodyText"/>
      </w:pPr>
      <w:r>
        <w:t xml:space="preserve">SELINUX=permissive</w:t>
      </w:r>
    </w:p>
    <w:p>
      <w:pPr>
        <w:pStyle w:val="CaptionedFigure"/>
      </w:pPr>
      <w:r>
        <w:drawing>
          <wp:inline>
            <wp:extent cx="2667000" cy="1990244"/>
            <wp:effectExtent b="0" l="0" r="0" t="0"/>
            <wp:docPr descr="Отключение SELinux" title="" id="52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1/report/image/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990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Отключение SELinux</w:t>
      </w:r>
    </w:p>
    <w:bookmarkEnd w:id="54"/>
    <w:bookmarkStart w:id="58" w:name="настройка-раскладки-клавиатуры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Настройка раскладки клавиатуры</w:t>
      </w:r>
    </w:p>
    <w:p>
      <w:pPr>
        <w:pStyle w:val="CaptionedFigure"/>
      </w:pPr>
      <w:r>
        <w:drawing>
          <wp:inline>
            <wp:extent cx="2667000" cy="910950"/>
            <wp:effectExtent b="0" l="0" r="0" t="0"/>
            <wp:docPr descr="Настройка раскладки клавиатуры" title="" id="56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1/report/image/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1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раскладки клавиатуры</w:t>
      </w:r>
    </w:p>
    <w:bookmarkEnd w:id="58"/>
    <w:bookmarkStart w:id="62" w:name="X552b86c65445ac349a28766cf4fa95fd7ef0b6f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Установка имени пользователя и названия хоста</w:t>
      </w:r>
    </w:p>
    <w:p>
      <w:pPr>
        <w:pStyle w:val="FirstParagraph"/>
      </w:pPr>
      <w:r>
        <w:t xml:space="preserve">Создаю пользователя, задаю пароль, устанавливаю имя хоста</w:t>
      </w:r>
    </w:p>
    <w:p>
      <w:pPr>
        <w:pStyle w:val="CaptionedFigure"/>
      </w:pPr>
      <w:r>
        <w:drawing>
          <wp:inline>
            <wp:extent cx="2667000" cy="1893902"/>
            <wp:effectExtent b="0" l="0" r="0" t="0"/>
            <wp:docPr descr="Установка имени пользователя и названия хоста" title="" id="60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1/report/image/1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93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Установка имени пользователя и названия хоста</w:t>
      </w:r>
    </w:p>
    <w:bookmarkEnd w:id="62"/>
    <w:bookmarkStart w:id="66" w:name="работа-с-языком-разметки-markdown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Работа с языком разметки Markdown</w:t>
      </w:r>
    </w:p>
    <w:p>
      <w:pPr>
        <w:pStyle w:val="FirstParagraph"/>
      </w:pPr>
      <w:r>
        <w:t xml:space="preserve">Установка pandoc, pandoc-crossref, TeXlive</w:t>
      </w:r>
    </w:p>
    <w:p>
      <w:pPr>
        <w:pStyle w:val="CaptionedFigure"/>
      </w:pPr>
      <w:r>
        <w:drawing>
          <wp:inline>
            <wp:extent cx="2667000" cy="1268252"/>
            <wp:effectExtent b="0" l="0" r="0" t="0"/>
            <wp:docPr descr="Установка pandoc, pandoc-crossref, TeXlive" title="" id="64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1/report/image/1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26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pandoc, pandoc-crossref, TeXlive</w:t>
      </w:r>
    </w:p>
    <w:bookmarkEnd w:id="66"/>
    <w:bookmarkStart w:id="70" w:name="домашнее-задание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Домашнее задание</w:t>
      </w:r>
    </w:p>
    <w:p>
      <w:pPr>
        <w:pStyle w:val="FirstParagraph"/>
      </w:pPr>
      <w:r>
        <w:t xml:space="preserve">Получите следующую информацию.</w:t>
      </w:r>
    </w:p>
    <w:p>
      <w:pPr>
        <w:numPr>
          <w:ilvl w:val="0"/>
          <w:numId w:val="1002"/>
        </w:numPr>
        <w:pStyle w:val="Compact"/>
      </w:pPr>
      <w:r>
        <w:t xml:space="preserve">Версия ядра Linux (Linux version).</w:t>
      </w:r>
    </w:p>
    <w:p>
      <w:pPr>
        <w:numPr>
          <w:ilvl w:val="0"/>
          <w:numId w:val="1002"/>
        </w:numPr>
        <w:pStyle w:val="Compact"/>
      </w:pPr>
      <w:r>
        <w:t xml:space="preserve">Частота процессора (Detected Mhz processor).</w:t>
      </w:r>
    </w:p>
    <w:p>
      <w:pPr>
        <w:numPr>
          <w:ilvl w:val="0"/>
          <w:numId w:val="1002"/>
        </w:numPr>
        <w:pStyle w:val="Compact"/>
      </w:pPr>
      <w:r>
        <w:t xml:space="preserve">Модель процессора (CPU0).</w:t>
      </w:r>
    </w:p>
    <w:p>
      <w:pPr>
        <w:numPr>
          <w:ilvl w:val="0"/>
          <w:numId w:val="1002"/>
        </w:numPr>
        <w:pStyle w:val="Compact"/>
      </w:pPr>
      <w:r>
        <w:t xml:space="preserve">Объём доступной оперативной памяти (Memory available).</w:t>
      </w:r>
    </w:p>
    <w:p>
      <w:pPr>
        <w:numPr>
          <w:ilvl w:val="0"/>
          <w:numId w:val="1002"/>
        </w:numPr>
        <w:pStyle w:val="Compact"/>
      </w:pPr>
      <w:r>
        <w:t xml:space="preserve">Тип обнаруженного гипервизора (Hypervisor detected).</w:t>
      </w:r>
    </w:p>
    <w:p>
      <w:pPr>
        <w:numPr>
          <w:ilvl w:val="0"/>
          <w:numId w:val="1002"/>
        </w:numPr>
        <w:pStyle w:val="Compact"/>
      </w:pPr>
      <w:r>
        <w:t xml:space="preserve">Тип файловой системы корневого - - Последовательность монтирования файловых систем.</w:t>
      </w:r>
    </w:p>
    <w:p>
      <w:pPr>
        <w:pStyle w:val="CaptionedFigure"/>
      </w:pPr>
      <w:r>
        <w:drawing>
          <wp:inline>
            <wp:extent cx="2667000" cy="1745672"/>
            <wp:effectExtent b="0" l="0" r="0" t="0"/>
            <wp:docPr descr="дз" title="" id="68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1/report/image/hw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45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дз</w:t>
      </w:r>
    </w:p>
    <w:bookmarkEnd w:id="70"/>
    <w:bookmarkEnd w:id="71"/>
    <w:bookmarkStart w:id="7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Выводы</w:t>
      </w:r>
    </w:p>
    <w:p>
      <w:pPr>
        <w:pStyle w:val="FirstParagraph"/>
      </w:pPr>
      <w:r>
        <w:t xml:space="preserve">В ходе выполнения данной работы я приобрела практические навыки установки операционной системы на виртуальную машину, настройки минимально необходимых для дальнейшей работы сервисов.</w:t>
      </w:r>
    </w:p>
    <w:bookmarkEnd w:id="72"/>
    <w:bookmarkStart w:id="74" w:name="список-литературы"/>
    <w:p>
      <w:pPr>
        <w:pStyle w:val="Heading1"/>
      </w:pPr>
      <w:r>
        <w:t xml:space="preserve">Список литературы</w:t>
      </w:r>
    </w:p>
    <w:bookmarkStart w:id="73" w:name="refs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Лебеденко Елена Викторовна</dc:creator>
  <dc:language>ru-Ru\</dc:language>
  <cp:keywords/>
  <dcterms:created xsi:type="dcterms:W3CDTF">2026-03-07T04:46:33Z</dcterms:created>
  <dcterms:modified xsi:type="dcterms:W3CDTF">2026-03-07T04:46:33Z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Times New Roman</vt:lpwstr>
  </property>
  <property fmtid="{D5CDD505-2E9C-101B-9397-08002B2CF9AE}" pid="59" name="mathfont">
    <vt:lpwstr>Times New Roman</vt:lpwstr>
  </property>
  <property fmtid="{D5CDD505-2E9C-101B-9397-08002B2CF9AE}" pid="60" name="monofont">
    <vt:lpwstr>Courier New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sansfont">
    <vt:lpwstr>Arial</vt:lpwstr>
  </property>
  <property fmtid="{D5CDD505-2E9C-101B-9397-08002B2CF9AE}" pid="71" name="secHeaderDelim">
    <vt:lpwstr> </vt:lpwstr>
  </property>
  <property fmtid="{D5CDD505-2E9C-101B-9397-08002B2CF9AE}" pid="72" name="secHeaderTemplate">
    <vt:lpwstr>isecHeaderDelim[n]t</vt:lpwstr>
  </property>
  <property fmtid="{D5CDD505-2E9C-101B-9397-08002B2CF9AE}" pid="73" name="secLabels">
    <vt:lpwstr>arabic</vt:lpwstr>
  </property>
  <property fmtid="{D5CDD505-2E9C-101B-9397-08002B2CF9AE}" pid="74" name="secPrefix">
    <vt:lpwstr/>
  </property>
  <property fmtid="{D5CDD505-2E9C-101B-9397-08002B2CF9AE}" pid="75" name="secPrefixTemplate">
    <vt:lpwstr>p i</vt:lpwstr>
  </property>
  <property fmtid="{D5CDD505-2E9C-101B-9397-08002B2CF9AE}" pid="76" name="sectionsDepth">
    <vt:lpwstr>0</vt:lpwstr>
  </property>
  <property fmtid="{D5CDD505-2E9C-101B-9397-08002B2CF9AE}" pid="77" name="subfigGrid">
    <vt:lpwstr>False</vt:lpwstr>
  </property>
  <property fmtid="{D5CDD505-2E9C-101B-9397-08002B2CF9AE}" pid="78" name="subfigLabels">
    <vt:lpwstr>alpha a</vt:lpwstr>
  </property>
  <property fmtid="{D5CDD505-2E9C-101B-9397-08002B2CF9AE}" pid="79" name="subfigureChildTemplate">
    <vt:lpwstr>i</vt:lpwstr>
  </property>
  <property fmtid="{D5CDD505-2E9C-101B-9397-08002B2CF9AE}" pid="80" name="subfigureRefIndexTemplate">
    <vt:lpwstr>isuf (s)</vt:lpwstr>
  </property>
  <property fmtid="{D5CDD505-2E9C-101B-9397-08002B2CF9AE}" pid="81" name="subfigureTemplate">
    <vt:lpwstr>figureTitle ititleDelim t. ccs</vt:lpwstr>
  </property>
  <property fmtid="{D5CDD505-2E9C-101B-9397-08002B2CF9AE}" pid="82" name="subtitle">
    <vt:lpwstr>Дисциплина: Операционные системы</vt:lpwstr>
  </property>
  <property fmtid="{D5CDD505-2E9C-101B-9397-08002B2CF9AE}" pid="83" name="tableEqns">
    <vt:lpwstr>False</vt:lpwstr>
  </property>
  <property fmtid="{D5CDD505-2E9C-101B-9397-08002B2CF9AE}" pid="84" name="tableTemplate">
    <vt:lpwstr>tableTitle ititleDelim t</vt:lpwstr>
  </property>
  <property fmtid="{D5CDD505-2E9C-101B-9397-08002B2CF9AE}" pid="85" name="tableTitle">
    <vt:lpwstr>Таблица</vt:lpwstr>
  </property>
  <property fmtid="{D5CDD505-2E9C-101B-9397-08002B2CF9AE}" pid="86" name="tblLabels">
    <vt:lpwstr>arabic</vt:lpwstr>
  </property>
  <property fmtid="{D5CDD505-2E9C-101B-9397-08002B2CF9AE}" pid="87" name="tblPrefix">
    <vt:lpwstr/>
  </property>
  <property fmtid="{D5CDD505-2E9C-101B-9397-08002B2CF9AE}" pid="88" name="tblPrefixTemplate">
    <vt:lpwstr>p i</vt:lpwstr>
  </property>
  <property fmtid="{D5CDD505-2E9C-101B-9397-08002B2CF9AE}" pid="89" name="titleDelim">
    <vt:lpwstr>:</vt:lpwstr>
  </property>
  <property fmtid="{D5CDD505-2E9C-101B-9397-08002B2CF9AE}" pid="90" name="toc">
    <vt:lpwstr>True</vt:lpwstr>
  </property>
  <property fmtid="{D5CDD505-2E9C-101B-9397-08002B2CF9AE}" pid="91" name="toc-depth">
    <vt:lpwstr>2</vt:lpwstr>
  </property>
  <property fmtid="{D5CDD505-2E9C-101B-9397-08002B2CF9AE}" pid="92" name="toc-title">
    <vt:lpwstr>Содержание</vt:lpwstr>
  </property>
</Properties>
</file>