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</w:p>
    <w:p>
      <w:pPr>
        <w:spacing w:before="0" w:after="0" w:line="360" w:lineRule="auto"/>
        <w:jc w:val="center"/>
      </w:pPr>
    </w:p>
    <w:p>
      <w:pPr>
        <w:spacing w:before="0" w:after="0" w:line="360" w:lineRule="auto"/>
        <w:jc w:val="center"/>
      </w:pPr>
    </w:p>
    <w:p>
      <w:pPr>
        <w:spacing w:before="0" w:after="0" w:line="360" w:lineRule="auto"/>
        <w:jc w:val="center"/>
      </w:pPr>
    </w:p>
    <w:p>
      <w:pPr>
        <w:spacing w:before="0" w:after="0" w:line="360" w:lineRule="auto"/>
        <w:jc w:val="center"/>
      </w:pPr>
    </w:p>
    <w:p>
      <w:pPr>
        <w:spacing w:before="0" w:after="120" w:line="360" w:lineRule="auto"/>
        <w:jc w:val="center"/>
      </w:pPr>
      <w:r>
        <w:rPr>
          <w:rFonts w:ascii="Arial" w:hAnsi="Arial"/>
          <w:b/>
          <w:i w:val="0"/>
          <w:sz w:val="32"/>
        </w:rPr>
        <w:t>TRABALHO A3 – PRÁTICO</w:t>
      </w:r>
    </w:p>
    <w:p>
      <w:pPr>
        <w:spacing w:before="0" w:after="720" w:line="360" w:lineRule="auto"/>
        <w:jc w:val="center"/>
      </w:pPr>
      <w:r>
        <w:rPr>
          <w:rFonts w:ascii="Arial" w:hAnsi="Arial"/>
          <w:b/>
          <w:i w:val="0"/>
          <w:sz w:val="32"/>
        </w:rPr>
        <w:t>GARANTIA E GESTÃO DA QUALIDADE DE SOFTWARE</w:t>
      </w:r>
    </w:p>
    <w:p>
      <w:pPr>
        <w:spacing w:before="0" w:after="120" w:line="360" w:lineRule="auto"/>
        <w:jc w:val="center"/>
      </w:pPr>
      <w:r>
        <w:rPr>
          <w:rFonts w:ascii="Arial" w:hAnsi="Arial"/>
          <w:b/>
          <w:i w:val="0"/>
          <w:color w:val="1F4E79"/>
          <w:sz w:val="36"/>
        </w:rPr>
        <w:t>EduStream — Plataforma de Streaming de Vídeo Educacional</w:t>
      </w:r>
    </w:p>
    <w:p>
      <w:pPr>
        <w:spacing w:before="0" w:after="960" w:line="360" w:lineRule="auto"/>
        <w:jc w:val="center"/>
      </w:pPr>
      <w:r>
        <w:rPr>
          <w:rFonts w:ascii="Arial" w:hAnsi="Arial"/>
          <w:b w:val="0"/>
          <w:i/>
          <w:sz w:val="28"/>
        </w:rPr>
        <w:t>(Alinhado à ODS 4 – Educação de Qualidade)</w:t>
      </w:r>
    </w:p>
    <w:p>
      <w:pPr>
        <w:spacing w:before="0" w:after="720" w:line="360" w:lineRule="auto"/>
        <w:jc w:val="center"/>
      </w:pPr>
      <w:r>
        <w:rPr>
          <w:rFonts w:ascii="Arial" w:hAnsi="Arial"/>
          <w:b/>
          <w:i w:val="0"/>
          <w:sz w:val="24"/>
        </w:rPr>
        <w:t>Professor: Daniel Henrique Matos de Paiva</w:t>
      </w:r>
    </w:p>
    <w:p>
      <w:pPr>
        <w:spacing w:before="0" w:after="120" w:line="360" w:lineRule="auto"/>
        <w:jc w:val="center"/>
      </w:pPr>
      <w:r>
        <w:rPr>
          <w:rFonts w:ascii="Arial" w:hAnsi="Arial"/>
          <w:b/>
          <w:i w:val="0"/>
          <w:sz w:val="24"/>
        </w:rPr>
        <w:t>Integrantes:</w:t>
      </w:r>
    </w:p>
    <w:p>
      <w:pPr>
        <w:spacing w:before="0" w:after="80" w:line="360" w:lineRule="auto"/>
        <w:jc w:val="center"/>
      </w:pPr>
      <w:r>
        <w:rPr>
          <w:rFonts w:ascii="Arial" w:hAnsi="Arial"/>
          <w:b w:val="0"/>
          <w:i w:val="0"/>
          <w:sz w:val="24"/>
        </w:rPr>
        <w:t>Pietro Cardoso de Oliveira – RA: 32515280</w:t>
      </w:r>
    </w:p>
    <w:p>
      <w:pPr>
        <w:spacing w:before="0" w:after="80" w:line="360" w:lineRule="auto"/>
        <w:jc w:val="center"/>
      </w:pPr>
      <w:r>
        <w:rPr>
          <w:rFonts w:ascii="Arial" w:hAnsi="Arial"/>
          <w:b w:val="0"/>
          <w:i w:val="0"/>
          <w:sz w:val="24"/>
        </w:rPr>
        <w:t>João Vitor Alves Rodrigues – RA: 32513480</w:t>
      </w:r>
    </w:p>
    <w:p>
      <w:pPr>
        <w:spacing w:before="0" w:after="80" w:line="360" w:lineRule="auto"/>
        <w:jc w:val="center"/>
      </w:pPr>
      <w:r>
        <w:rPr>
          <w:rFonts w:ascii="Arial" w:hAnsi="Arial"/>
          <w:b w:val="0"/>
          <w:i w:val="0"/>
          <w:sz w:val="24"/>
        </w:rPr>
        <w:t>Rafael Luiz Ferreira de Souza – RA: 32511503</w:t>
      </w:r>
    </w:p>
    <w:p>
      <w:pPr>
        <w:spacing w:before="0" w:after="80" w:line="360" w:lineRule="auto"/>
        <w:jc w:val="center"/>
      </w:pPr>
      <w:r>
        <w:rPr>
          <w:rFonts w:ascii="Arial" w:hAnsi="Arial"/>
          <w:b w:val="0"/>
          <w:i w:val="0"/>
          <w:sz w:val="24"/>
        </w:rPr>
        <w:t>Gustavo Henrique Ramos Gomes – RA: 325141430</w:t>
      </w:r>
    </w:p>
    <w:p>
      <w:pPr>
        <w:spacing w:before="0" w:after="80" w:line="360" w:lineRule="auto"/>
        <w:jc w:val="center"/>
      </w:pPr>
      <w:r>
        <w:rPr>
          <w:rFonts w:ascii="Arial" w:hAnsi="Arial"/>
          <w:b w:val="0"/>
          <w:i w:val="0"/>
          <w:sz w:val="24"/>
        </w:rPr>
        <w:t>Pedro Henrique Martins – RA: 325130235</w:t>
      </w:r>
    </w:p>
    <w:p>
      <w:pPr>
        <w:spacing w:before="0" w:after="0" w:line="360" w:lineRule="auto"/>
        <w:jc w:val="center"/>
      </w:pPr>
    </w:p>
    <w:p>
      <w:pPr>
        <w:spacing w:before="0" w:after="0" w:line="360" w:lineRule="auto"/>
        <w:jc w:val="center"/>
      </w:pPr>
    </w:p>
    <w:p>
      <w:pPr>
        <w:spacing w:before="0" w:after="0" w:line="360" w:lineRule="auto"/>
        <w:jc w:val="center"/>
      </w:pPr>
    </w:p>
    <w:p>
      <w:pPr>
        <w:spacing w:before="0" w:after="120" w:line="360" w:lineRule="auto"/>
        <w:jc w:val="center"/>
      </w:pPr>
      <w:r>
        <w:rPr>
          <w:rFonts w:ascii="Arial" w:hAnsi="Arial"/>
          <w:b/>
          <w:i w:val="0"/>
          <w:sz w:val="24"/>
        </w:rPr>
        <w:t>Belo Horizonte, outubro de 2026</w:t>
      </w:r>
    </w:p>
    <w:p>
      <w:r>
        <w:br w:type="page"/>
      </w:r>
    </w:p>
    <w:p>
      <w:pPr>
        <w:spacing w:before="360" w:after="240" w:line="360" w:lineRule="auto"/>
        <w:jc w:val="left"/>
      </w:pPr>
      <w:r>
        <w:rPr>
          <w:rFonts w:ascii="Arial" w:hAnsi="Arial"/>
          <w:b/>
          <w:i w:val="0"/>
          <w:sz w:val="28"/>
        </w:rPr>
        <w:t>2. INTRODUÇÃO E PROBLEMA REAL A SER RESOLVIDO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A educação a distância cresceu de forma acelerada nas últimas duas décadas, mas grande parte das plataformas de vídeo utilizadas por instituições de ensino e criadores de conteúdo educacional ainda enfrenta problemas básicos de infraestrutura: vídeos que travam em conexões instáveis, ausência de qualidade adaptativa e falta de personalização no conteúdo recomendado ao aluno. Enquanto plataformas comerciais como YouTube e Netflix já dominam tecnologias de streaming adaptativo (ABR — Adaptive Bitrate Streaming), muitas soluções educacionais de menor porte ainda distribuem vídeos em formato único, prejudicando o acesso de alunos com internet limitada — realidade comum em diversas regiões do Brasil.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Esse problema é particularmente crítico para instituições de ensino, cursos livres e criadores de conteúdo educacional independente, que não possuem recursos para desenvolver ou licenciar uma infraestrutura de streaming robusta. O resultado é uma barreira de acesso ao conhecimento: alunos com conexões mais lentas simplesmente não conseguem assistir aos vídeos com qualidade aceitável, o que compromete diretamente a experiência de aprendizagem.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Diante disso, este projeto propõe o desenvolvimento de uma plataforma de streaming de vídeo educacional — denominada EduStream — capaz de receber uploads de vídeo, processá-los automaticamente em múltiplas resoluções, distribuí-los via streaming adaptativo (HLS) e recomendar conteúdos relacionados ao usuário — tornando o acesso à educação em vídeo mais democrático, estável e eficiente.</w:t>
      </w:r>
    </w:p>
    <w:p>
      <w:pPr>
        <w:spacing w:before="360" w:after="240" w:line="360" w:lineRule="auto"/>
        <w:jc w:val="left"/>
      </w:pPr>
      <w:r>
        <w:rPr>
          <w:rFonts w:ascii="Arial" w:hAnsi="Arial"/>
          <w:b/>
          <w:i w:val="0"/>
          <w:sz w:val="28"/>
        </w:rPr>
        <w:t>3. SOLUÇÃO PROPOSTA (ARQUITETURA TÉCNICA)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A solução foi desenvolvida em Python, adotando uma arquitetura de microsserviços desacoplada por filas assíncronas, o que garante escalabilidade e resiliência mesmo sob alta carga de processamento de vídeo. Os principais componentes são:</w:t>
      </w:r>
    </w:p>
    <w:p>
      <w:pPr>
        <w:pStyle w:val="ListBullet"/>
        <w:spacing w:line="360" w:lineRule="auto" w:after="80"/>
        <w:ind w:left="709"/>
      </w:pPr>
      <w:r>
        <w:rPr>
          <w:rFonts w:ascii="Arial" w:hAnsi="Arial"/>
          <w:b/>
          <w:sz w:val="24"/>
        </w:rPr>
        <w:t xml:space="preserve">API de Upload (FastAPI): </w:t>
      </w:r>
      <w:r>
        <w:rPr>
          <w:rFonts w:ascii="Arial" w:hAnsi="Arial"/>
          <w:sz w:val="24"/>
        </w:rPr>
        <w:t>responsável por receber os vídeos, validar formato e tamanho, e armazenar metadados (título, descrição, tags, categoria, autor).</w:t>
      </w:r>
    </w:p>
    <w:p>
      <w:pPr>
        <w:pStyle w:val="ListBullet"/>
        <w:spacing w:line="360" w:lineRule="auto" w:after="80"/>
        <w:ind w:left="709"/>
      </w:pPr>
      <w:r>
        <w:rPr>
          <w:rFonts w:ascii="Arial" w:hAnsi="Arial"/>
          <w:b/>
          <w:sz w:val="24"/>
        </w:rPr>
        <w:t xml:space="preserve">Fila de Processamento Assíncrono (Redis + Celery): </w:t>
      </w:r>
      <w:r>
        <w:rPr>
          <w:rFonts w:ascii="Arial" w:hAnsi="Arial"/>
          <w:sz w:val="24"/>
        </w:rPr>
        <w:t>desacopla o upload do processamento pesado, permitindo que o usuário receba uma resposta imediata enquanto o vídeo é transcodificado em segundo plano, com mecanismo de retry automático em caso de falha.</w:t>
      </w:r>
    </w:p>
    <w:p>
      <w:pPr>
        <w:pStyle w:val="ListBullet"/>
        <w:spacing w:line="360" w:lineRule="auto" w:after="80"/>
        <w:ind w:left="709"/>
      </w:pPr>
      <w:r>
        <w:rPr>
          <w:rFonts w:ascii="Arial" w:hAnsi="Arial"/>
          <w:b/>
          <w:sz w:val="24"/>
        </w:rPr>
        <w:t xml:space="preserve">Módulo de Transcodificação (FFmpeg): </w:t>
      </w:r>
      <w:r>
        <w:rPr>
          <w:rFonts w:ascii="Arial" w:hAnsi="Arial"/>
          <w:sz w:val="24"/>
        </w:rPr>
        <w:t>converte o vídeo original em múltiplas resoluções (360p a 1080p) e gera arquivos no formato HLS (HTTP Live Streaming), possibilitando qualidade adaptativa conforme a conexão do usuário.</w:t>
      </w:r>
    </w:p>
    <w:p>
      <w:pPr>
        <w:pStyle w:val="ListBullet"/>
        <w:spacing w:line="360" w:lineRule="auto" w:after="80"/>
        <w:ind w:left="709"/>
      </w:pPr>
      <w:r>
        <w:rPr>
          <w:rFonts w:ascii="Arial" w:hAnsi="Arial"/>
          <w:b/>
          <w:sz w:val="24"/>
        </w:rPr>
        <w:t xml:space="preserve">Banco de Dados e Armazenamento (Supabase): </w:t>
      </w:r>
      <w:r>
        <w:rPr>
          <w:rFonts w:ascii="Arial" w:hAnsi="Arial"/>
          <w:sz w:val="24"/>
        </w:rPr>
        <w:t>o Supabase (Postgres gerenciado) armazena os metadados dos vídeos, o histórico de visualização e o status de processamento, com um dashboard web que facilita o acompanhamento dos dados por toda a equipe; os arquivos de vídeo (originais e HLS) ficam no Supabase Storage, o serviço de objetos da própria plataforma.</w:t>
      </w:r>
    </w:p>
    <w:p>
      <w:pPr>
        <w:pStyle w:val="ListBullet"/>
        <w:spacing w:line="360" w:lineRule="auto" w:after="80"/>
        <w:ind w:left="709"/>
      </w:pPr>
      <w:r>
        <w:rPr>
          <w:rFonts w:ascii="Arial" w:hAnsi="Arial"/>
          <w:b/>
          <w:sz w:val="24"/>
        </w:rPr>
        <w:t xml:space="preserve">Motor de Recomendações: </w:t>
      </w:r>
      <w:r>
        <w:rPr>
          <w:rFonts w:ascii="Arial" w:hAnsi="Arial"/>
          <w:sz w:val="24"/>
        </w:rPr>
        <w:t>sugere vídeos relacionados com base em similaridade de conteúdo (tags/categoria) e popularidade, com cache em Redis para melhorar performance.</w:t>
      </w:r>
    </w:p>
    <w:p>
      <w:pPr>
        <w:pStyle w:val="ListBullet"/>
        <w:spacing w:line="360" w:lineRule="auto" w:after="80"/>
        <w:ind w:left="709"/>
      </w:pPr>
      <w:r>
        <w:rPr>
          <w:rFonts w:ascii="Arial" w:hAnsi="Arial"/>
          <w:b/>
          <w:sz w:val="24"/>
        </w:rPr>
        <w:t xml:space="preserve">Player Adaptativo (HLS.js): </w:t>
      </w:r>
      <w:r>
        <w:rPr>
          <w:rFonts w:ascii="Arial" w:hAnsi="Arial"/>
          <w:sz w:val="24"/>
        </w:rPr>
        <w:t>player web que ajusta automaticamente a qualidade do vídeo em tempo real conforme a banda disponível, sem interromper a reprodução.</w:t>
      </w:r>
    </w:p>
    <w:p>
      <w:pPr>
        <w:spacing w:before="120" w:after="12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Toda a solução segue práticas de Clean Code, tratamento de erros (try/except em pontos críticos como upload, transcodificação e acesso a filas), testes unitários (TDD) em cada módulo, versionamento em GitFlow com commits semânticos, e um pipeline de CI/CD via GitHub Actions para validação automática dos testes a cada push.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A Figura 1 apresenta o diagrama de arquitetura da solução, ilustrando o fluxo completo de dados: do upload do vídeo à reprodução adaptativa pelo aluno, passando pela fila assíncrona, pela transcodificação e pelas recomendações.</w:t>
      </w:r>
    </w:p>
    <w:p>
      <w:pPr>
        <w:spacing w:before="200" w:after="120" w:line="240" w:lineRule="auto"/>
        <w:jc w:val="center"/>
      </w:pPr>
      <w:r>
        <w:rPr>
          <w:rFonts w:ascii="Arial" w:hAnsi="Arial"/>
          <w:b/>
          <w:i w:val="0"/>
          <w:sz w:val="20"/>
        </w:rPr>
        <w:t>Figura 1 – Arquitetura técnica da solução proposta (plataforma EduStream)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10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quite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10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 w:line="240" w:lineRule="auto"/>
        <w:jc w:val="center"/>
      </w:pPr>
      <w:r>
        <w:rPr>
          <w:rFonts w:ascii="Arial" w:hAnsi="Arial"/>
          <w:b w:val="0"/>
          <w:i w:val="0"/>
          <w:sz w:val="20"/>
        </w:rPr>
        <w:t>Fonte: elaborado pelos autores (2026).</w:t>
      </w:r>
    </w:p>
    <w:p>
      <w:pPr>
        <w:spacing w:before="240" w:after="160" w:line="360" w:lineRule="auto"/>
        <w:jc w:val="left"/>
      </w:pPr>
      <w:r>
        <w:rPr>
          <w:rFonts w:ascii="Arial" w:hAnsi="Arial"/>
          <w:b/>
          <w:i w:val="0"/>
          <w:sz w:val="24"/>
        </w:rPr>
        <w:t>3.1 Stack tecnológica</w:t>
      </w:r>
    </w:p>
    <w:p>
      <w:pPr>
        <w:spacing w:before="200" w:after="80" w:line="240" w:lineRule="auto"/>
        <w:jc w:val="center"/>
      </w:pPr>
      <w:r>
        <w:rPr>
          <w:rFonts w:ascii="Arial" w:hAnsi="Arial"/>
          <w:b/>
          <w:i w:val="0"/>
          <w:sz w:val="20"/>
        </w:rPr>
        <w:t>Quadro 1 – Stack tecnológica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551"/>
            <w:shd w:val="clear" w:fill="D9E2F3"/>
          </w:tcPr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21"/>
              </w:rPr>
              <w:t>Camada</w:t>
            </w:r>
          </w:p>
        </w:tc>
        <w:tc>
          <w:tcPr>
            <w:tcW w:type="dxa" w:w="6236"/>
            <w:shd w:val="clear" w:fill="D9E2F3"/>
          </w:tcPr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21"/>
              </w:rPr>
              <w:t>Tecnologia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API / Backend</w:t>
            </w:r>
          </w:p>
        </w:tc>
        <w:tc>
          <w:tcPr>
            <w:tcW w:type="dxa" w:w="6236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Python + FastAPI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Upload de arquivos</w:t>
            </w:r>
          </w:p>
        </w:tc>
        <w:tc>
          <w:tcPr>
            <w:tcW w:type="dxa" w:w="6236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python-multipart, Pydantic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Processamento assíncrono</w:t>
            </w:r>
          </w:p>
        </w:tc>
        <w:tc>
          <w:tcPr>
            <w:tcW w:type="dxa" w:w="6236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Redis + Celery (+ Celery Beat)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Transcodificação</w:t>
            </w:r>
          </w:p>
        </w:tc>
        <w:tc>
          <w:tcPr>
            <w:tcW w:type="dxa" w:w="6236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FFmpeg (via ffmpeg-python / subprocess)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Streaming</w:t>
            </w:r>
          </w:p>
        </w:tc>
        <w:tc>
          <w:tcPr>
            <w:tcW w:type="dxa" w:w="6236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HLS (HTTP Live Streaming)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Player</w:t>
            </w:r>
          </w:p>
        </w:tc>
        <w:tc>
          <w:tcPr>
            <w:tcW w:type="dxa" w:w="6236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HLS.js + HTML5 Video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Armazenamento</w:t>
            </w:r>
          </w:p>
        </w:tc>
        <w:tc>
          <w:tcPr>
            <w:tcW w:type="dxa" w:w="6236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Supabase Storage (bucket de vídeos: originais + HLS + thumbnails)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Banco de dados</w:t>
            </w:r>
          </w:p>
        </w:tc>
        <w:tc>
          <w:tcPr>
            <w:tcW w:type="dxa" w:w="6236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Supabase (Postgres gerenciado, com dashboard web e API REST automática)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Recomendações</w:t>
            </w:r>
          </w:p>
        </w:tc>
        <w:tc>
          <w:tcPr>
            <w:tcW w:type="dxa" w:w="6236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Similaridade de tags (Jaccard/cosine) + popularidade, com cache em Redis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Testes</w:t>
            </w:r>
          </w:p>
        </w:tc>
        <w:tc>
          <w:tcPr>
            <w:tcW w:type="dxa" w:w="6236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Pytest (backend) e Jest (player)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CI/CD</w:t>
            </w:r>
          </w:p>
        </w:tc>
        <w:tc>
          <w:tcPr>
            <w:tcW w:type="dxa" w:w="6236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GitHub Actions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Versionamento</w:t>
            </w:r>
          </w:p>
        </w:tc>
        <w:tc>
          <w:tcPr>
            <w:tcW w:type="dxa" w:w="6236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Git + GitFlow, commits semânticos</w:t>
            </w:r>
          </w:p>
        </w:tc>
      </w:tr>
    </w:tbl>
    <w:p>
      <w:pPr>
        <w:spacing w:before="80" w:after="200" w:line="240" w:lineRule="auto"/>
        <w:jc w:val="center"/>
      </w:pPr>
      <w:r>
        <w:rPr>
          <w:rFonts w:ascii="Arial" w:hAnsi="Arial"/>
          <w:b w:val="0"/>
          <w:i w:val="0"/>
          <w:sz w:val="20"/>
        </w:rPr>
        <w:t>Fonte: elaborado pelos autores (2026).</w:t>
      </w:r>
    </w:p>
    <w:p>
      <w:pPr>
        <w:spacing w:before="240" w:after="160" w:line="360" w:lineRule="auto"/>
        <w:jc w:val="left"/>
      </w:pPr>
      <w:r>
        <w:rPr>
          <w:rFonts w:ascii="Arial" w:hAnsi="Arial"/>
          <w:b/>
          <w:i w:val="0"/>
          <w:sz w:val="24"/>
        </w:rPr>
        <w:t>3.2 Práticas de garantia e gestão da qualidade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quadro a seguir demonstra como cada critério de qualidade exigido no edital da disciplina foi atendido pelo projeto:</w:t>
      </w:r>
    </w:p>
    <w:p>
      <w:pPr>
        <w:spacing w:before="200" w:after="80" w:line="240" w:lineRule="auto"/>
        <w:jc w:val="center"/>
      </w:pPr>
      <w:r>
        <w:rPr>
          <w:rFonts w:ascii="Arial" w:hAnsi="Arial"/>
          <w:b/>
          <w:i w:val="0"/>
          <w:sz w:val="20"/>
        </w:rPr>
        <w:t>Quadro 2 – Atendimento aos critérios de qualidade do edital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val="clear" w:fill="D9E2F3"/>
          </w:tcPr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21"/>
              </w:rPr>
              <w:t>Critério do edital</w:t>
            </w:r>
          </w:p>
        </w:tc>
        <w:tc>
          <w:tcPr>
            <w:tcW w:type="dxa" w:w="5953"/>
            <w:shd w:val="clear" w:fill="D9E2F3"/>
          </w:tcPr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21"/>
              </w:rPr>
              <w:t>Como o projeto cumpre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GitFlow (mín. 3 branches)</w:t>
            </w:r>
          </w:p>
        </w:tc>
        <w:tc>
          <w:tcPr>
            <w:tcW w:type="dxa" w:w="5953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main, develop e 5 branches de feature (uma por módulo), integradas exclusivamente via pull requests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Commits semânticos</w:t>
            </w:r>
          </w:p>
        </w:tc>
        <w:tc>
          <w:tcPr>
            <w:tcW w:type="dxa" w:w="5953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feat:, fix:, test:, docs:, refactor:, chore: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TDD (testes unitários)</w:t>
            </w:r>
          </w:p>
        </w:tc>
        <w:tc>
          <w:tcPr>
            <w:tcW w:type="dxa" w:w="5953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Testes em cada módulo com Pytest no backend e Jest no player (suíte com ~160 testes no pipeline)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CI/CD</w:t>
            </w:r>
          </w:p>
        </w:tc>
        <w:tc>
          <w:tcPr>
            <w:tcW w:type="dxa" w:w="5953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GitHub Actions executa pytest + Jest, Flake8 e relatório de cobertura a cada push/pull request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Clean Code</w:t>
            </w:r>
          </w:p>
        </w:tc>
        <w:tc>
          <w:tcPr>
            <w:tcW w:type="dxa" w:w="5953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Nomes descritivos, funções pequenas e de responsabilidade única, sem duplicação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Tratamento de erros</w:t>
            </w:r>
          </w:p>
        </w:tc>
        <w:tc>
          <w:tcPr>
            <w:tcW w:type="dxa" w:w="5953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Try/except em pontos críticos: upload, transcodificação, filas e chamadas externas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Indentação / estilo</w:t>
            </w:r>
          </w:p>
        </w:tc>
        <w:tc>
          <w:tcPr>
            <w:tcW w:type="dxa" w:w="5953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Padrão PEP8 (Python)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ODS</w:t>
            </w:r>
          </w:p>
        </w:tc>
        <w:tc>
          <w:tcPr>
            <w:tcW w:type="dxa" w:w="5953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ODS 4 — Educação de Qualidade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Integração com API externa</w:t>
            </w:r>
          </w:p>
        </w:tc>
        <w:tc>
          <w:tcPr>
            <w:tcW w:type="dxa" w:w="5953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Supabase Storage (upload e serve dos arquivos de vídeo via API REST/SDK)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Integração com banco de dados</w:t>
            </w:r>
          </w:p>
        </w:tc>
        <w:tc>
          <w:tcPr>
            <w:tcW w:type="dxa" w:w="5953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Supabase (Postgres gerenciado)</w:t>
            </w:r>
          </w:p>
        </w:tc>
      </w:tr>
    </w:tbl>
    <w:p>
      <w:pPr>
        <w:spacing w:before="80" w:after="200" w:line="240" w:lineRule="auto"/>
        <w:jc w:val="center"/>
      </w:pPr>
      <w:r>
        <w:rPr>
          <w:rFonts w:ascii="Arial" w:hAnsi="Arial"/>
          <w:b w:val="0"/>
          <w:i w:val="0"/>
          <w:sz w:val="20"/>
        </w:rPr>
        <w:t>Fonte: elaborado pelos autores (2026).</w:t>
      </w:r>
    </w:p>
    <w:p>
      <w:pPr>
        <w:spacing w:before="240" w:after="160" w:line="360" w:lineRule="auto"/>
        <w:jc w:val="left"/>
      </w:pPr>
      <w:r>
        <w:rPr>
          <w:rFonts w:ascii="Arial" w:hAnsi="Arial"/>
          <w:b/>
          <w:i w:val="0"/>
          <w:sz w:val="24"/>
        </w:rPr>
        <w:t>3.3 Equipe e responsabilidades</w:t>
      </w:r>
    </w:p>
    <w:p>
      <w:pPr>
        <w:spacing w:before="200" w:after="80" w:line="240" w:lineRule="auto"/>
        <w:jc w:val="center"/>
      </w:pPr>
      <w:r>
        <w:rPr>
          <w:rFonts w:ascii="Arial" w:hAnsi="Arial"/>
          <w:b/>
          <w:i w:val="0"/>
          <w:sz w:val="20"/>
        </w:rPr>
        <w:t>Quadro 3 – Equipe, RAs e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608"/>
            <w:shd w:val="clear" w:fill="D9E2F3"/>
          </w:tcPr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9"/>
              </w:rPr>
              <w:t>Integrante</w:t>
            </w:r>
          </w:p>
        </w:tc>
        <w:tc>
          <w:tcPr>
            <w:tcW w:type="dxa" w:w="1361"/>
            <w:shd w:val="clear" w:fill="D9E2F3"/>
          </w:tcPr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9"/>
              </w:rPr>
              <w:t>RA</w:t>
            </w:r>
          </w:p>
        </w:tc>
        <w:tc>
          <w:tcPr>
            <w:tcW w:type="dxa" w:w="2608"/>
            <w:shd w:val="clear" w:fill="D9E2F3"/>
          </w:tcPr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9"/>
              </w:rPr>
              <w:t>Módulo (branch)</w:t>
            </w:r>
          </w:p>
        </w:tc>
        <w:tc>
          <w:tcPr>
            <w:tcW w:type="dxa" w:w="2494"/>
            <w:shd w:val="clear" w:fill="D9E2F3"/>
          </w:tcPr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9"/>
              </w:rPr>
              <w:t>Responsabilidade extra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19"/>
              </w:rPr>
              <w:t>Pietro Cardoso de Oliveira</w:t>
            </w:r>
          </w:p>
        </w:tc>
        <w:tc>
          <w:tcPr>
            <w:tcW w:type="dxa" w:w="1361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19"/>
              </w:rPr>
              <w:t>32515280</w:t>
            </w:r>
          </w:p>
        </w:tc>
        <w:tc>
          <w:tcPr>
            <w:tcW w:type="dxa" w:w="2608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19"/>
              </w:rPr>
              <w:t>feature/processamento-assincrono</w:t>
            </w:r>
          </w:p>
        </w:tc>
        <w:tc>
          <w:tcPr>
            <w:tcW w:type="dxa" w:w="2494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19"/>
              </w:rPr>
              <w:t>Banco de dados (Supabase), CI/CD e relatório final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19"/>
              </w:rPr>
              <w:t>João Vitor Alves Rodrigues</w:t>
            </w:r>
          </w:p>
        </w:tc>
        <w:tc>
          <w:tcPr>
            <w:tcW w:type="dxa" w:w="1361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19"/>
              </w:rPr>
              <w:t>32513480</w:t>
            </w:r>
          </w:p>
        </w:tc>
        <w:tc>
          <w:tcPr>
            <w:tcW w:type="dxa" w:w="2608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19"/>
              </w:rPr>
              <w:t>feature/transcodificacao</w:t>
            </w:r>
          </w:p>
        </w:tc>
        <w:tc>
          <w:tcPr>
            <w:tcW w:type="dxa" w:w="2494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19"/>
              </w:rPr>
              <w:t>Integração com Supabase Storage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19"/>
              </w:rPr>
              <w:t>Rafael Luiz Ferreira de Souza</w:t>
            </w:r>
          </w:p>
        </w:tc>
        <w:tc>
          <w:tcPr>
            <w:tcW w:type="dxa" w:w="1361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19"/>
              </w:rPr>
              <w:t>32511503</w:t>
            </w:r>
          </w:p>
        </w:tc>
        <w:tc>
          <w:tcPr>
            <w:tcW w:type="dxa" w:w="2608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19"/>
              </w:rPr>
              <w:t>feature/upload-videos</w:t>
            </w:r>
          </w:p>
        </w:tc>
        <w:tc>
          <w:tcPr>
            <w:tcW w:type="dxa" w:w="2494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19"/>
              </w:rPr>
              <w:t>Introdução e ODS no documento Word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19"/>
              </w:rPr>
              <w:t>Gustavo Henrique Ramos Gomes</w:t>
            </w:r>
          </w:p>
        </w:tc>
        <w:tc>
          <w:tcPr>
            <w:tcW w:type="dxa" w:w="1361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19"/>
              </w:rPr>
              <w:t>325141430</w:t>
            </w:r>
          </w:p>
        </w:tc>
        <w:tc>
          <w:tcPr>
            <w:tcW w:type="dxa" w:w="2608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19"/>
              </w:rPr>
              <w:t>feature/recomendacoes</w:t>
            </w:r>
          </w:p>
        </w:tc>
        <w:tc>
          <w:tcPr>
            <w:tcW w:type="dxa" w:w="2494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19"/>
              </w:rPr>
              <w:t>Vídeo pitch (roteiro, gravação, edição)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19"/>
              </w:rPr>
              <w:t>Pedro Henrique Martins</w:t>
            </w:r>
          </w:p>
        </w:tc>
        <w:tc>
          <w:tcPr>
            <w:tcW w:type="dxa" w:w="1361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19"/>
              </w:rPr>
              <w:t>325130235</w:t>
            </w:r>
          </w:p>
        </w:tc>
        <w:tc>
          <w:tcPr>
            <w:tcW w:type="dxa" w:w="2608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19"/>
              </w:rPr>
              <w:t>feature/player-adaptativo</w:t>
            </w:r>
          </w:p>
        </w:tc>
        <w:tc>
          <w:tcPr>
            <w:tcW w:type="dxa" w:w="2494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19"/>
              </w:rPr>
              <w:t>Slides do PowerPoint</w:t>
            </w:r>
          </w:p>
        </w:tc>
      </w:tr>
    </w:tbl>
    <w:p>
      <w:pPr>
        <w:spacing w:before="80" w:after="200" w:line="240" w:lineRule="auto"/>
        <w:jc w:val="center"/>
      </w:pPr>
      <w:r>
        <w:rPr>
          <w:rFonts w:ascii="Arial" w:hAnsi="Arial"/>
          <w:b w:val="0"/>
          <w:i w:val="0"/>
          <w:sz w:val="20"/>
        </w:rPr>
        <w:t>Fonte: elaborado pelos autores (2026).</w:t>
      </w:r>
    </w:p>
    <w:p>
      <w:pPr>
        <w:spacing w:before="80" w:after="12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código-fonte completo, incluindo testes e pipeline de CI/CD, encontra-se versionado no repositório público do projeto: https://github.com/Pietro2820/projeto-a3-Garantia-da-Qualidade-de-Software-2026.2, organizado nas branches main, develop e cinco branches de feature (uma por integrante).</w:t>
      </w:r>
    </w:p>
    <w:p>
      <w:pPr>
        <w:spacing w:before="360" w:after="240" w:line="360" w:lineRule="auto"/>
        <w:jc w:val="left"/>
      </w:pPr>
      <w:r>
        <w:rPr>
          <w:rFonts w:ascii="Arial" w:hAnsi="Arial"/>
          <w:b/>
          <w:i w:val="0"/>
          <w:sz w:val="28"/>
        </w:rPr>
        <w:t>4. ALINHAMENTO COM A ODS 4 (EDUCAÇÃO DE QUALIDADE)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Este projeto está diretamente alinhado ao Objetivo de Desenvolvimento Sustentável 4 (ODS 4) — Educação de Qualidade, que busca “assegurar a educação inclusiva e equitativa e promover oportunidades de aprendizagem ao longo da vida para todos”. Ao viabilizar uma infraestrutura de streaming adaptativo de baixo custo, a plataforma reduz a barreira técnica de acesso a conteúdos educacionais em vídeo, especialmente para usuários com conexões de internet instáveis ou limitadas — um cenário comum em regiões com menor infraestrutura de telecomunicações. Dessa forma, o projeto contribui para tornar o aprendizado em vídeo mais acessível, equitativo e de qualidade, independentemente da condição de conectividade do usuário.</w:t>
      </w:r>
    </w:p>
    <w:p>
      <w:pPr>
        <w:spacing w:before="360" w:after="240" w:line="360" w:lineRule="auto"/>
        <w:jc w:val="left"/>
      </w:pPr>
      <w:r>
        <w:rPr>
          <w:rFonts w:ascii="Arial" w:hAnsi="Arial"/>
          <w:b/>
          <w:i w:val="0"/>
          <w:sz w:val="28"/>
        </w:rPr>
        <w:t>5. CRONOGRAMA DO PROJETO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Quadro 4 apresenta os marcos do projeto, do kickoff (registrado no primeiro commit do repositório, em 11/09/2026) até a apresentação final na Expo UNA:</w:t>
      </w:r>
    </w:p>
    <w:p>
      <w:pPr>
        <w:spacing w:before="200" w:after="80" w:line="240" w:lineRule="auto"/>
        <w:jc w:val="center"/>
      </w:pPr>
      <w:r>
        <w:rPr>
          <w:rFonts w:ascii="Arial" w:hAnsi="Arial"/>
          <w:b/>
          <w:i w:val="0"/>
          <w:sz w:val="20"/>
        </w:rPr>
        <w:t>Quadro 4 – Cronograma de marcos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814"/>
            <w:shd w:val="clear" w:fill="D9E2F3"/>
          </w:tcPr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21"/>
              </w:rPr>
              <w:t>Data</w:t>
            </w:r>
          </w:p>
        </w:tc>
        <w:tc>
          <w:tcPr>
            <w:tcW w:type="dxa" w:w="6973"/>
            <w:shd w:val="clear" w:fill="D9E2F3"/>
          </w:tcPr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21"/>
              </w:rPr>
              <w:t>Marco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11/09/2026</w:t>
            </w:r>
          </w:p>
        </w:tc>
        <w:tc>
          <w:tcPr>
            <w:tcW w:type="dxa" w:w="6973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Kickoff do projeto, definição de branches e ambiente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16/10/2026</w:t>
            </w:r>
          </w:p>
        </w:tc>
        <w:tc>
          <w:tcPr>
            <w:tcW w:type="dxa" w:w="6973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Entrega oficial: Documento Word + Código versionado + PowerPoint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19/10/2026</w:t>
            </w:r>
          </w:p>
        </w:tc>
        <w:tc>
          <w:tcPr>
            <w:tcW w:type="dxa" w:w="6973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Feedback 01 — primeira entrega parcial (upload básico funcionando)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09/11/2026</w:t>
            </w:r>
          </w:p>
        </w:tc>
        <w:tc>
          <w:tcPr>
            <w:tcW w:type="dxa" w:w="6973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Feedback 02 — segunda entrega parcial (integração entre módulos)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23/11/2026</w:t>
            </w:r>
          </w:p>
        </w:tc>
        <w:tc>
          <w:tcPr>
            <w:tcW w:type="dxa" w:w="6973"/>
          </w:tcPr>
          <w:p>
            <w:pPr>
              <w:spacing w:line="240" w:lineRule="auto" w:after="40"/>
            </w:pPr>
            <w:r>
              <w:rPr>
                <w:rFonts w:ascii="Arial" w:hAnsi="Arial"/>
                <w:sz w:val="21"/>
              </w:rPr>
              <w:t>Feedback 03 / Apresentação Final — Expo UNA</w:t>
            </w:r>
          </w:p>
        </w:tc>
      </w:tr>
    </w:tbl>
    <w:p>
      <w:pPr>
        <w:spacing w:before="80" w:after="200" w:line="240" w:lineRule="auto"/>
        <w:jc w:val="center"/>
      </w:pPr>
      <w:r>
        <w:rPr>
          <w:rFonts w:ascii="Arial" w:hAnsi="Arial"/>
          <w:b w:val="0"/>
          <w:i w:val="0"/>
          <w:sz w:val="20"/>
        </w:rPr>
        <w:t>Fonte: elaborado pelos autores (2026).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Como o primeiro feedback parcial (Feedback 01) está agendado imediatamente após a data da entrega oficial, o cronograma interno foi planejado com folga, garantindo uma base funcional do sistema antes de 16/10/2026.</w:t>
      </w:r>
    </w:p>
    <w:p>
      <w:pPr>
        <w:spacing w:before="360" w:after="240" w:line="360" w:lineRule="auto"/>
        <w:jc w:val="left"/>
      </w:pPr>
      <w:r>
        <w:rPr>
          <w:rFonts w:ascii="Arial" w:hAnsi="Arial"/>
          <w:b/>
          <w:i w:val="0"/>
          <w:sz w:val="28"/>
        </w:rPr>
        <w:t>6. CONSIDERAÇÕES FINAIS / PRÓXIMOS PASSOS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Como próximos passos, o time pretende evoluir o motor de recomendações com técnicas de collaborative filtering, adicionar suporte a legendas automáticas via transcrição, e explorar métricas de analytics mais avançadas sobre o comportamento de visualização dos usuários.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sz w:val="24"/>
        </w:rPr>
        <w:t>Na versão atual, todos os módulos descritos encontram-se implementados e integrados: o fluxo completo de upload → fila → transcodificação → streaming adaptativo → recomendações opera de ponta a ponta, validado pela suíte de testes automatizados (Pytest no backend e Jest no player) executada pelo pipeline de CI/CD a cada push ou pull request.</w:t>
      </w:r>
    </w:p>
    <w:p>
      <w:pPr>
        <w:spacing w:before="360" w:after="240" w:line="360" w:lineRule="auto"/>
        <w:jc w:val="left"/>
      </w:pPr>
      <w:r>
        <w:rPr>
          <w:rFonts w:ascii="Arial" w:hAnsi="Arial"/>
          <w:b/>
          <w:i w:val="0"/>
          <w:sz w:val="28"/>
        </w:rPr>
        <w:t>7. REFERÊNCIAS</w:t>
      </w:r>
    </w:p>
    <w:p>
      <w:pPr>
        <w:spacing w:before="0" w:after="200" w:line="240" w:lineRule="auto"/>
        <w:jc w:val="left"/>
      </w:pPr>
      <w:r>
        <w:rPr>
          <w:rFonts w:ascii="Arial" w:hAnsi="Arial"/>
          <w:b w:val="0"/>
          <w:i w:val="0"/>
          <w:sz w:val="24"/>
        </w:rPr>
        <w:t>APPLE INC. HTTP Live Streaming. Cupertino: Apple Developer. Disponível em: https://developer.apple.com/streaming/. Acesso em: 6 out. 2026.</w:t>
      </w:r>
    </w:p>
    <w:p>
      <w:pPr>
        <w:spacing w:before="0" w:after="200" w:line="240" w:lineRule="auto"/>
        <w:jc w:val="left"/>
      </w:pPr>
      <w:r>
        <w:rPr>
          <w:rFonts w:ascii="Arial" w:hAnsi="Arial"/>
          <w:b w:val="0"/>
          <w:i w:val="0"/>
          <w:sz w:val="24"/>
        </w:rPr>
        <w:t>CELERY PROJECT. Celery 5.x – distributed task queue: documentação. Disponível em: https://docs.celeryq.dev/. Acesso em: 6 out. 2026.</w:t>
      </w:r>
    </w:p>
    <w:p>
      <w:pPr>
        <w:spacing w:before="0" w:after="200" w:line="240" w:lineRule="auto"/>
        <w:jc w:val="left"/>
      </w:pPr>
      <w:r>
        <w:rPr>
          <w:rFonts w:ascii="Arial" w:hAnsi="Arial"/>
          <w:b w:val="0"/>
          <w:i w:val="0"/>
          <w:sz w:val="24"/>
        </w:rPr>
        <w:t>CHACON, S.; STRAUB, B. Pro Git. 2. ed. New York: Apress, 2014. Disponível em: https://git-scm.com/book/pt-br/v2. Acesso em: 6 out. 2026.</w:t>
      </w:r>
    </w:p>
    <w:p>
      <w:pPr>
        <w:spacing w:before="0" w:after="200" w:line="240" w:lineRule="auto"/>
        <w:jc w:val="left"/>
      </w:pPr>
      <w:r>
        <w:rPr>
          <w:rFonts w:ascii="Arial" w:hAnsi="Arial"/>
          <w:b w:val="0"/>
          <w:i w:val="0"/>
          <w:sz w:val="24"/>
        </w:rPr>
        <w:t>CONVENTIONAL COMMITS. Conventional Commits 1.0.0. Disponível em: https://www.conventionalcommits.org/pt-br/. Acesso em: 6 out. 2026.</w:t>
      </w:r>
    </w:p>
    <w:p>
      <w:pPr>
        <w:spacing w:before="0" w:after="200" w:line="240" w:lineRule="auto"/>
        <w:jc w:val="left"/>
      </w:pPr>
      <w:r>
        <w:rPr>
          <w:rFonts w:ascii="Arial" w:hAnsi="Arial"/>
          <w:b w:val="0"/>
          <w:i w:val="0"/>
          <w:sz w:val="24"/>
        </w:rPr>
        <w:t>DOCKER INC. Docker Compose: documentation. Disponível em: https://docs.docker.com/compose/. Acesso em: 6 out. 2026.</w:t>
      </w:r>
    </w:p>
    <w:p>
      <w:pPr>
        <w:spacing w:before="0" w:after="200" w:line="240" w:lineRule="auto"/>
        <w:jc w:val="left"/>
      </w:pPr>
      <w:r>
        <w:rPr>
          <w:rFonts w:ascii="Arial" w:hAnsi="Arial"/>
          <w:b w:val="0"/>
          <w:i w:val="0"/>
          <w:sz w:val="24"/>
        </w:rPr>
        <w:t>FFMPEG PROJECT. FFmpeg documentation. Disponível em: https://ffmpeg.org/documentation.html. Acesso em: 6 out. 2026.</w:t>
      </w:r>
    </w:p>
    <w:p>
      <w:pPr>
        <w:spacing w:before="0" w:after="200" w:line="240" w:lineRule="auto"/>
        <w:jc w:val="left"/>
      </w:pPr>
      <w:r>
        <w:rPr>
          <w:rFonts w:ascii="Arial" w:hAnsi="Arial"/>
          <w:b w:val="0"/>
          <w:i w:val="0"/>
          <w:sz w:val="24"/>
        </w:rPr>
        <w:t>GITHUB INC. GitHub Actions: documentation. Disponível em: https://docs.github.com/pt/actions. Acesso em: 6 out. 2026.</w:t>
      </w:r>
    </w:p>
    <w:p>
      <w:pPr>
        <w:spacing w:before="0" w:after="200" w:line="240" w:lineRule="auto"/>
        <w:jc w:val="left"/>
      </w:pPr>
      <w:r>
        <w:rPr>
          <w:rFonts w:ascii="Arial" w:hAnsi="Arial"/>
          <w:b w:val="0"/>
          <w:i w:val="0"/>
          <w:sz w:val="24"/>
        </w:rPr>
        <w:t>JEST. Jest – delightful JavaScript testing. Disponível em: https://jestjs.io/pt-BR/docs/getting-started. Acesso em: 6 out. 2026.</w:t>
      </w:r>
    </w:p>
    <w:p>
      <w:pPr>
        <w:spacing w:before="0" w:after="200" w:line="240" w:lineRule="auto"/>
        <w:jc w:val="left"/>
      </w:pPr>
      <w:r>
        <w:rPr>
          <w:rFonts w:ascii="Arial" w:hAnsi="Arial"/>
          <w:b w:val="0"/>
          <w:i w:val="0"/>
          <w:sz w:val="24"/>
        </w:rPr>
        <w:t>MARTIN, R. C. Clean code: a handbook of agile software craftsmanship. Upper Saddle River: Prentice Hall, 2008.</w:t>
      </w:r>
    </w:p>
    <w:p>
      <w:pPr>
        <w:spacing w:before="0" w:after="200" w:line="240" w:lineRule="auto"/>
        <w:jc w:val="left"/>
      </w:pPr>
      <w:r>
        <w:rPr>
          <w:rFonts w:ascii="Arial" w:hAnsi="Arial"/>
          <w:b w:val="0"/>
          <w:i w:val="0"/>
          <w:sz w:val="24"/>
        </w:rPr>
        <w:t>PYTHON SOFTWARE FOUNDATION. PEP 8 – style guide for Python code. Disponível em: https://peps.python.org/pep-0008/. Acesso em: 6 out. 2026.</w:t>
      </w:r>
    </w:p>
    <w:p>
      <w:pPr>
        <w:spacing w:before="0" w:after="200" w:line="240" w:lineRule="auto"/>
        <w:jc w:val="left"/>
      </w:pPr>
      <w:r>
        <w:rPr>
          <w:rFonts w:ascii="Arial" w:hAnsi="Arial"/>
          <w:b w:val="0"/>
          <w:i w:val="0"/>
          <w:sz w:val="24"/>
        </w:rPr>
        <w:t>PYTHON SOFTWARE FOUNDATION. pytest: documentation. Disponível em: https://docs.pytest.org/. Acesso em: 6 out. 2026.</w:t>
      </w:r>
    </w:p>
    <w:p>
      <w:pPr>
        <w:spacing w:before="0" w:after="200" w:line="240" w:lineRule="auto"/>
        <w:jc w:val="left"/>
      </w:pPr>
      <w:r>
        <w:rPr>
          <w:rFonts w:ascii="Arial" w:hAnsi="Arial"/>
          <w:b w:val="0"/>
          <w:i w:val="0"/>
          <w:sz w:val="24"/>
        </w:rPr>
        <w:t>REDIS LTD. Redis documentation. Disponível em: https://redis.io/docs/. Acesso em: 6 out. 2026.</w:t>
      </w:r>
    </w:p>
    <w:p>
      <w:pPr>
        <w:spacing w:before="0" w:after="200" w:line="240" w:lineRule="auto"/>
        <w:jc w:val="left"/>
      </w:pPr>
      <w:r>
        <w:rPr>
          <w:rFonts w:ascii="Arial" w:hAnsi="Arial"/>
          <w:b w:val="0"/>
          <w:i w:val="0"/>
          <w:sz w:val="24"/>
        </w:rPr>
        <w:t>SCIKIT-LEARN DEVELOPMENT TEAM. scikit-learn: user guide. Disponível em: https://scikit-learn.org/stable/. Acesso em: 6 out. 2026.</w:t>
      </w:r>
    </w:p>
    <w:p>
      <w:pPr>
        <w:spacing w:before="0" w:after="200" w:line="240" w:lineRule="auto"/>
        <w:jc w:val="left"/>
      </w:pPr>
      <w:r>
        <w:rPr>
          <w:rFonts w:ascii="Arial" w:hAnsi="Arial"/>
          <w:b w:val="0"/>
          <w:i w:val="0"/>
          <w:sz w:val="24"/>
        </w:rPr>
        <w:t>SUPABASE INC. Supabase documentation. Disponível em: https://supabase.com/docs. Acesso em: 6 out. 2026.</w:t>
      </w:r>
    </w:p>
    <w:p>
      <w:pPr>
        <w:spacing w:before="0" w:after="200" w:line="240" w:lineRule="auto"/>
        <w:jc w:val="left"/>
      </w:pPr>
      <w:r>
        <w:rPr>
          <w:rFonts w:ascii="Arial" w:hAnsi="Arial"/>
          <w:b w:val="0"/>
          <w:i w:val="0"/>
          <w:sz w:val="24"/>
        </w:rPr>
        <w:t>SUPABASE INC. Supabase Storage: object storage (buckets de arquivos). Disponível em: https://supabase.com/docs/guides/storage. Acesso em: 6 out. 2026.</w:t>
      </w:r>
    </w:p>
    <w:p>
      <w:pPr>
        <w:spacing w:before="0" w:after="200" w:line="240" w:lineRule="auto"/>
        <w:jc w:val="left"/>
      </w:pPr>
      <w:r>
        <w:rPr>
          <w:rFonts w:ascii="Arial" w:hAnsi="Arial"/>
          <w:b w:val="0"/>
          <w:i w:val="0"/>
          <w:sz w:val="24"/>
        </w:rPr>
        <w:t>TORRES, S. FastAPI: documentation. Disponível em: https://fastapi.tiangolo.com/. Acesso em: 6 out. 2026.</w:t>
      </w:r>
    </w:p>
    <w:p>
      <w:pPr>
        <w:spacing w:before="0" w:after="200" w:line="240" w:lineRule="auto"/>
        <w:jc w:val="left"/>
      </w:pPr>
      <w:r>
        <w:rPr>
          <w:rFonts w:ascii="Arial" w:hAnsi="Arial"/>
          <w:b w:val="0"/>
          <w:i w:val="0"/>
          <w:sz w:val="24"/>
        </w:rPr>
        <w:t>ORGANIZAÇÃO DAS NAÇÕES UNIDAS. Objetivo de Desenvolvimento Sustentável 4: educação de qualidade. Disponível em: https://www.un.org/sustainabledevelopment/education/. Acesso em: 6 out. 2026.</w:t>
      </w:r>
    </w:p>
    <w:p>
      <w:pPr>
        <w:spacing w:before="0" w:after="200" w:line="240" w:lineRule="auto"/>
        <w:jc w:val="left"/>
      </w:pPr>
      <w:r>
        <w:rPr>
          <w:rFonts w:ascii="Arial" w:hAnsi="Arial"/>
          <w:b w:val="0"/>
          <w:i w:val="0"/>
          <w:sz w:val="24"/>
        </w:rPr>
        <w:t>ONU BRASIL. ODS 4 – educação de qualidade. Disponível em: https://brasil.un.org/pt-br/ods/4. Acesso em: 6 out. 2026.</w:t>
      </w:r>
    </w:p>
    <w:p>
      <w:pPr>
        <w:spacing w:before="0" w:after="200" w:line="240" w:lineRule="auto"/>
        <w:jc w:val="left"/>
      </w:pPr>
      <w:r>
        <w:rPr>
          <w:rFonts w:ascii="Arial" w:hAnsi="Arial"/>
          <w:b w:val="0"/>
          <w:i w:val="0"/>
          <w:sz w:val="24"/>
        </w:rPr>
        <w:t>VIDEO-DEV. hls.js – JavaScript HLS client. Disponível em: https://github.com/video-dev/hls.js. Acesso em: 6 out. 2026.</w:t>
      </w:r>
    </w:p>
    <w:sectPr w:rsidR="00FC693F" w:rsidRPr="0006063C" w:rsidSect="00034616">
      <w:headerReference w:type="default" r:id="rId10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20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