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45dfd2aaa62a52386949ca6e244502c49e5b22e"/>
    <w:p>
      <w:pPr>
        <w:pStyle w:val="Heading1"/>
      </w:pPr>
      <w:r>
        <w:t xml:space="preserve">Extração Hierárquica de Características de Redes Neurais Pré-treinadas para Reconhecimento de Atributos Visuais</w:t>
      </w:r>
    </w:p>
    <w:p>
      <w:pPr>
        <w:pStyle w:val="FirstParagraph"/>
      </w:pPr>
      <w:r>
        <w:rPr>
          <w:b/>
          <w:bCs/>
        </w:rPr>
        <w:t xml:space="preserve">Autores:</w:t>
      </w:r>
      <w:r>
        <w:t xml:space="preserve"> </w:t>
      </w:r>
      <w:r>
        <w:t xml:space="preserve">- Leonardo [Sobrenome] - Universidade Tecnológica Federal do Paraná (UTFPR), Santa Helena (PR), Brasil</w:t>
      </w:r>
      <w:r>
        <w:t xml:space="preserve"> </w:t>
      </w:r>
      <w:r>
        <w:t xml:space="preserve">- [Nome do Amigo] - Universidade Tecnológica Federal do Paraná (UTFPR), Santa Helena (PR), Brasil</w:t>
      </w:r>
      <w:r>
        <w:t xml:space="preserve"> </w:t>
      </w:r>
      <w:r>
        <w:t xml:space="preserve">- Arlete Teresinha Beuren - Universidade Tecnológica Federal do Paraná (UTFPR), Santa Helena (PR), Brasil</w:t>
      </w:r>
      <w:r>
        <w:t xml:space="preserve"> </w:t>
      </w:r>
      <w:r>
        <w:t xml:space="preserve">- Alceu de Souza Britto Jr. - Pontifícia Universidade Católica do Paraná (PUCPR), Curitiba (PR), Brasil</w:t>
      </w:r>
    </w:p>
    <w:p>
      <w:r>
        <w:pict>
          <v:rect style="width:0;height:1.5pt" o:hralign="center" o:hrstd="t" o:hr="t"/>
        </w:pict>
      </w:r>
    </w:p>
    <w:bookmarkStart w:id="9" w:name="resumo"/>
    <w:p>
      <w:pPr>
        <w:pStyle w:val="Heading2"/>
      </w:pPr>
      <w:r>
        <w:t xml:space="preserve">Resumo</w:t>
      </w:r>
    </w:p>
    <w:p>
      <w:pPr>
        <w:pStyle w:val="FirstParagraph"/>
      </w:pPr>
      <w:r>
        <w:t xml:space="preserve">Este estudo investiga as capacidades de extração hierárquica de características de arquiteturas modernas de redes neurais pré-treinadas para reconhecimento de atributos visuais, especificamente direcionado aos atributos de cor e textura em imagens de roupas. Avaliamos três arquiteturas backbone distintas: VGG-16, uma rede neural convolucional clássica; iBOT, um Vision Transformer auto-supervisionado; e VMamba, um novo Modelo Visual de Espaço de Estados. As características são extraídas das camadas intermediárias de cada arquitetura e avaliadas usando classificação k-Nearest Neighbors com validação cruzada de 5 folds. Nossos experimentos revelam que diferentes profundidades arquiteturais exibem sensibilidades variáveis aos atributos de cor e textura, com camadas iniciais consistentemente capturando informações de cor enquanto camadas mais profundas representam melhor padrões de textura. Os resultados demonstram que a VGG-16 alcança o melhor equilíbrio para reconhecimento de cor (97,5% de acurácia na Camada 1), o iBOT se destaca no reconhecimento de textura (97,9% no bloco 11), e o VMamba apresenta desempenho competitivo com representações hierárquicas eficientes. Essas descobertas fornecem insights sobre a especialização de características por camada em diferentes paradigmas de redes neurais.</w:t>
      </w:r>
    </w:p>
    <w:p>
      <w:pPr>
        <w:pStyle w:val="BodyText"/>
      </w:pPr>
      <w:r>
        <w:rPr>
          <w:b/>
          <w:bCs/>
        </w:rPr>
        <w:t xml:space="preserve">Palavras-chave:</w:t>
      </w:r>
      <w:r>
        <w:t xml:space="preserve"> </w:t>
      </w:r>
      <w:r>
        <w:t xml:space="preserve">Extração de Características, Redes Neurais Convolucionais, Vision Transformers, Modelos Visuais de Espaço de Estados, Reconhecimento de Cor, Reconhecimento de Textura</w:t>
      </w:r>
    </w:p>
    <w:p>
      <w:r>
        <w:pict>
          <v:rect style="width:0;height:1.5pt" o:hralign="center" o:hrstd="t" o:hr="t"/>
        </w:pict>
      </w:r>
    </w:p>
    <w:bookmarkEnd w:id="9"/>
    <w:bookmarkStart w:id="10" w:name="i.-introdução"/>
    <w:p>
      <w:pPr>
        <w:pStyle w:val="Heading2"/>
      </w:pPr>
      <w:r>
        <w:t xml:space="preserve">I. Introdução</w:t>
      </w:r>
    </w:p>
    <w:p>
      <w:pPr>
        <w:pStyle w:val="FirstParagraph"/>
      </w:pPr>
      <w:r>
        <w:t xml:space="preserve">Os avanços em aprendizado profundo têm possibilitado soluções de visão computacional cada vez mais sofisticadas para aplicações industriais. Um exemplo notável é a recuperação de imagens em e-commerce, onde buscas podem ser conduzidas usando texto, imagens ou uma combinação de ambos. Enquanto a busca baseada em texto permanece como o método de consulta mais comum, sua eficácia depende fortemente de descrições detalhadas dos produtos. A busca baseada em imagem oferece resultados significativamente mais precisos quando os usuários buscam produtos baseados em atributos visuais como cor e textura [1].</w:t>
      </w:r>
    </w:p>
    <w:p>
      <w:pPr>
        <w:pStyle w:val="BodyText"/>
      </w:pPr>
      <w:r>
        <w:t xml:space="preserve">Motores de busca baseados em conteúdo de imagem apresentam desafios únicos e encontram aplicações além do e-commerce, incluindo recuperação de imagens médicas, sistemas de informação geográfica e vigilância [2]. O principal desafio reside em extrair com precisão o conteúdo relevante de uma imagem, particularmente quando o interesse do usuário é baseado em atributos específicos. No contexto do e-commerce, a busca focada em atributos para itens de vestuário baseada em cor, textura ou sua combinação está cada vez mais em demanda.</w:t>
      </w:r>
    </w:p>
    <w:p>
      <w:pPr>
        <w:pStyle w:val="BodyText"/>
      </w:pPr>
      <w:r>
        <w:t xml:space="preserve">Pesquisas anteriores demonstraram que diferentes camadas de redes neurais convolucionais (CNNs) capturam diferentes tipos de informação visual [3]. Camadas iniciais tipicamente capturam características de baixo nível como bordas e cores, enquanto camadas mais profundas codificam informações mais abstratas e semânticas, incluindo texturas e padrões. Esta representação hierárquica de características sugere que selecionar camadas apropriadas para atributos visuais específicos poderia melhorar significativamente a acurácia de reconhecimento.</w:t>
      </w:r>
    </w:p>
    <w:p>
      <w:pPr>
        <w:pStyle w:val="BodyText"/>
      </w:pPr>
      <w:r>
        <w:t xml:space="preserve">Avanços recentes em arquiteturas de redes neurais introduziram novos paradigmas além das CNNs tradicionais. Vision Transformers (ViTs) aplicam a arquitetura transformer ao processamento de imagens tratando imagens como sequências de patches [4]. Mais recentemente, Modelos Visuais de Espaço de Estados como VMamba surgiram, combinando a eficiência de modelos de espaço de estados com extração de características visuais [5]. Compreender como esses diferentes paradigmas arquiteturais organizam características hierárquicas é crucial para reconhecimento efetivo de atributos visuais.</w:t>
      </w:r>
    </w:p>
    <w:p>
      <w:pPr>
        <w:pStyle w:val="BodyText"/>
      </w:pPr>
      <w:r>
        <w:t xml:space="preserve">Este estudo avalia três arquiteturas backbone distintas para extração de características de cor e textura de imagens de roupas:</w:t>
      </w:r>
    </w:p>
    <w:p>
      <w:pPr>
        <w:pStyle w:val="Compact"/>
        <w:numPr>
          <w:ilvl w:val="0"/>
          <w:numId w:val="1001"/>
        </w:numPr>
      </w:pPr>
      <w:r>
        <w:rPr>
          <w:b/>
          <w:bCs/>
        </w:rPr>
        <w:t xml:space="preserve">VGG-16</w:t>
      </w:r>
      <w:r>
        <w:t xml:space="preserve">: Uma CNN clássica com camadas convolucionais e de pooling sequenciais, amplamente utilizada como extrator de características devido à sua simplicidade e eficácia [6].</w:t>
      </w:r>
    </w:p>
    <w:p>
      <w:pPr>
        <w:pStyle w:val="Compact"/>
        <w:numPr>
          <w:ilvl w:val="0"/>
          <w:numId w:val="1001"/>
        </w:numPr>
      </w:pPr>
      <w:r>
        <w:rPr>
          <w:b/>
          <w:bCs/>
        </w:rPr>
        <w:t xml:space="preserve">iBOT</w:t>
      </w:r>
      <w:r>
        <w:t xml:space="preserve">: Um Vision Transformer auto-supervisionado pré-treinado usando modelagem de imagem mascarada, representando a abordagem baseada em transformer para aprendizado de características visuais [7].</w:t>
      </w:r>
    </w:p>
    <w:p>
      <w:pPr>
        <w:pStyle w:val="Compact"/>
        <w:numPr>
          <w:ilvl w:val="0"/>
          <w:numId w:val="1001"/>
        </w:numPr>
      </w:pPr>
      <w:r>
        <w:rPr>
          <w:b/>
          <w:bCs/>
        </w:rPr>
        <w:t xml:space="preserve">VMamba</w:t>
      </w:r>
      <w:r>
        <w:t xml:space="preserve">: Um Modelo Visual de Espaço de Estados que aplica a arquitetura Mamba a tarefas visuais, oferecendo complexidade linear enquanto mantém extração hierárquica de características [5].</w:t>
      </w:r>
    </w:p>
    <w:p>
      <w:pPr>
        <w:pStyle w:val="FirstParagraph"/>
      </w:pPr>
      <w:r>
        <w:t xml:space="preserve">Para guiar nossos experimentos, formulamos as seguintes questões de pesquisa:</w:t>
      </w:r>
    </w:p>
    <w:p>
      <w:pPr>
        <w:pStyle w:val="Compact"/>
        <w:numPr>
          <w:ilvl w:val="0"/>
          <w:numId w:val="1002"/>
        </w:numPr>
      </w:pPr>
      <w:r>
        <w:rPr>
          <w:b/>
          <w:bCs/>
        </w:rPr>
        <w:t xml:space="preserve">QP1</w:t>
      </w:r>
      <w:r>
        <w:t xml:space="preserve">: Quais camadas dentro de cada arquitetura fornecem a melhor representação de atributos de cor?</w:t>
      </w:r>
    </w:p>
    <w:p>
      <w:pPr>
        <w:pStyle w:val="Compact"/>
        <w:numPr>
          <w:ilvl w:val="0"/>
          <w:numId w:val="1002"/>
        </w:numPr>
      </w:pPr>
      <w:r>
        <w:rPr>
          <w:b/>
          <w:bCs/>
        </w:rPr>
        <w:t xml:space="preserve">QP2</w:t>
      </w:r>
      <w:r>
        <w:t xml:space="preserve">: Quais camadas dentro de cada arquitetura fornecem a melhor representação de atributos de textura?</w:t>
      </w:r>
    </w:p>
    <w:p>
      <w:pPr>
        <w:pStyle w:val="Compact"/>
        <w:numPr>
          <w:ilvl w:val="0"/>
          <w:numId w:val="1002"/>
        </w:numPr>
      </w:pPr>
      <w:r>
        <w:rPr>
          <w:b/>
          <w:bCs/>
        </w:rPr>
        <w:t xml:space="preserve">QP3</w:t>
      </w:r>
      <w:r>
        <w:t xml:space="preserve">: Como os três paradigmas arquiteturais (CNN, Transformer, Modelo de Espaço de Estados) se comparam em sua organização hierárquica de características?</w:t>
      </w:r>
    </w:p>
    <w:p>
      <w:pPr>
        <w:pStyle w:val="FirstParagraph"/>
      </w:pPr>
      <w:r>
        <w:t xml:space="preserve">Este artigo está organizado da seguinte forma: Seção II revisa trabalhos relacionados, Seção III descreve as arquiteturas backbone avaliadas, Seção IV detalha a metodologia aplicada, Seção V apresenta resultados experimentais, e Seção VI conclui com descobertas e direções futuras.</w:t>
      </w:r>
    </w:p>
    <w:p>
      <w:r>
        <w:pict>
          <v:rect style="width:0;height:1.5pt" o:hralign="center" o:hrstd="t" o:hr="t"/>
        </w:pict>
      </w:r>
    </w:p>
    <w:bookmarkEnd w:id="10"/>
    <w:bookmarkStart w:id="11" w:name="ii.-trabalhos-relacionados"/>
    <w:p>
      <w:pPr>
        <w:pStyle w:val="Heading2"/>
      </w:pPr>
      <w:r>
        <w:t xml:space="preserve">II. Trabalhos Relacionados</w:t>
      </w:r>
    </w:p>
    <w:p>
      <w:pPr>
        <w:pStyle w:val="FirstParagraph"/>
      </w:pPr>
      <w:r>
        <w:t xml:space="preserve">O uso de redes neurais profundas para similaridade visual e reconhecimento de atributos tem sido extensivamente estudado na literatura. Motores de busca incorporam cada vez mais consultas baseadas em imagens, avançando além das buscas tradicionais baseadas em texto [1].</w:t>
      </w:r>
    </w:p>
    <w:p>
      <w:pPr>
        <w:pStyle w:val="BodyText"/>
      </w:pPr>
      <w:r>
        <w:t xml:space="preserve">Baloian et al. [3] investigaram camadas da ResNet-50 para determinar representações ótimas para buscas de cor e textura. Sua pesquisa concluiu que camadas iniciais da rede são mais adequadas para reconhecimento de cor, enquanto camadas mais profundas se destacam no reconhecimento de textura. Características foram extraídas de blocos residuais usando Global Average Pooling (GAP), e um classificador k-Nearest Neighbors (k-NN) com validação cruzada de 5 folds foi empregado para avaliação.</w:t>
      </w:r>
    </w:p>
    <w:p>
      <w:pPr>
        <w:pStyle w:val="BodyText"/>
      </w:pPr>
      <w:r>
        <w:t xml:space="preserve">No domínio de redes Siamesas, Moresco et al. [8] classificaram espécies de plantas por imagem de folha usando camadas convolucionais intermediárias para melhorar representações. Suas descobertas indicam que combinar características de diferentes camadas produz ganhos significativos de desempenho, com diferentes camadas contribuindo informações distintas.</w:t>
      </w:r>
    </w:p>
    <w:p>
      <w:pPr>
        <w:pStyle w:val="BodyText"/>
      </w:pPr>
      <w:r>
        <w:t xml:space="preserve">Araujo et al. [9] usaram abordagens de classificação fina para definir índices de similaridade através da análise de folhas inteiras e suas partes, demonstrando o valor da análise de características em múltiplas escalas.</w:t>
      </w:r>
    </w:p>
    <w:p>
      <w:pPr>
        <w:pStyle w:val="BodyText"/>
      </w:pPr>
      <w:r>
        <w:t xml:space="preserve">Para análise de textura especificamente, Irtaza et al. [10] apresentaram um método eficiente de extração de características baseado em pacotes wavelet e autovalores de filtros de Gabor, combinado com k-NN para classificação. Estudos também propuseram combinar características de cor e textura como vetores de características compostos [11]. Lin et al. [12] propuseram características de conteúdo de imagem baseadas em cor, textura e distribuição de cor usando matrizes de co-ocorrência de cor e métodos baseados em histograma.</w:t>
      </w:r>
    </w:p>
    <w:p>
      <w:pPr>
        <w:pStyle w:val="BodyText"/>
      </w:pPr>
      <w:r>
        <w:t xml:space="preserve">Avanços recentes em aprendizado auto-supervisionado introduziram estratégias poderosas de pré-treinamento para representações visuais. Vision Transformers pré-treinados com métodos como DINO [13] e iBOT [7] demonstraram capacidades notáveis de extração de características sem requerer dados rotulados durante o pré-treinamento. Esses modelos aprendem representações hierárquicas através de modelagem de imagem mascarada e auto-destilação.</w:t>
      </w:r>
    </w:p>
    <w:p>
      <w:pPr>
        <w:pStyle w:val="BodyText"/>
      </w:pPr>
      <w:r>
        <w:t xml:space="preserve">O surgimento de Modelos de Espaço de Estados para visão, particularmente VMamba [5], oferece um novo paradigma combinando a eficiência dos espaços de estados seletivos do Mamba com extração hierárquica de características visuais. Esses modelos alcançam desempenho competitivo com complexidade linear, tornando-os atrativos para extração escalável de atributos visuais.</w:t>
      </w:r>
    </w:p>
    <w:p>
      <w:r>
        <w:pict>
          <v:rect style="width:0;height:1.5pt" o:hralign="center" o:hrstd="t" o:hr="t"/>
        </w:pict>
      </w:r>
    </w:p>
    <w:bookmarkEnd w:id="11"/>
    <w:bookmarkStart w:id="16" w:name="iii.-arquiteturas-backbone"/>
    <w:p>
      <w:pPr>
        <w:pStyle w:val="Heading2"/>
      </w:pPr>
      <w:r>
        <w:t xml:space="preserve">III. Arquiteturas Backbone</w:t>
      </w:r>
    </w:p>
    <w:p>
      <w:pPr>
        <w:pStyle w:val="FirstParagraph"/>
      </w:pPr>
      <w:r>
        <w:t xml:space="preserve">Esta seção descreve as três arquiteturas backbone avaliadas neste estudo, focando em suas características arquiteturais e como as características são extraídas de suas camadas intermediárias.</w:t>
      </w:r>
    </w:p>
    <w:bookmarkStart w:id="12" w:name="a.-vgg-16-rede-neural-convolucional"/>
    <w:p>
      <w:pPr>
        <w:pStyle w:val="Heading3"/>
      </w:pPr>
      <w:r>
        <w:t xml:space="preserve">A. VGG-16: Rede Neural Convolucional</w:t>
      </w:r>
    </w:p>
    <w:p>
      <w:pPr>
        <w:pStyle w:val="FirstParagraph"/>
      </w:pPr>
      <w:r>
        <w:t xml:space="preserve">A VGG-16 [6] é uma rede neural convolucional clássica caracterizada por sua arquitetura uniforme usando pequenos filtros convolucionais (3×3) ao longo de toda a rede. A arquitetura consiste em 16 camadas com pesos organizadas em 5 blocos convolucionais, cada um seguido por max-pooling para redução espacial.</w:t>
      </w:r>
    </w:p>
    <w:p>
      <w:pPr>
        <w:pStyle w:val="BodyText"/>
      </w:pPr>
      <w:r>
        <w:rPr>
          <w:b/>
          <w:bCs/>
        </w:rPr>
        <w:t xml:space="preserve">Detalhes da Arquitetura: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Camada</w:t>
            </w:r>
          </w:p>
        </w:tc>
        <w:tc>
          <w:tcPr/>
          <w:p>
            <w:pPr>
              <w:pStyle w:val="Compact"/>
            </w:pPr>
            <w:r>
              <w:t xml:space="preserve">Configuração</w:t>
            </w:r>
          </w:p>
        </w:tc>
        <w:tc>
          <w:tcPr/>
          <w:p>
            <w:pPr>
              <w:pStyle w:val="Compact"/>
            </w:pPr>
            <w:r>
              <w:t xml:space="preserve">Tamanho de Saída</w:t>
            </w:r>
          </w:p>
        </w:tc>
      </w:tr>
      <w:tr>
        <w:tc>
          <w:tcPr/>
          <w:p>
            <w:pPr>
              <w:pStyle w:val="Compact"/>
            </w:pPr>
            <w:r>
              <w:t xml:space="preserve">Camada 1</w:t>
            </w:r>
          </w:p>
        </w:tc>
        <w:tc>
          <w:tcPr/>
          <w:p>
            <w:pPr>
              <w:pStyle w:val="Compact"/>
            </w:pPr>
            <w:r>
              <w:t xml:space="preserve">2 camadas conv (64 filtros)</w:t>
            </w:r>
          </w:p>
        </w:tc>
        <w:tc>
          <w:tcPr/>
          <w:p>
            <w:pPr>
              <w:pStyle w:val="Compact"/>
            </w:pPr>
            <w:r>
              <w:t xml:space="preserve">112×112×64</w:t>
            </w:r>
          </w:p>
        </w:tc>
      </w:tr>
      <w:tr>
        <w:tc>
          <w:tcPr/>
          <w:p>
            <w:pPr>
              <w:pStyle w:val="Compact"/>
            </w:pPr>
            <w:r>
              <w:t xml:space="preserve">Camada 2</w:t>
            </w:r>
          </w:p>
        </w:tc>
        <w:tc>
          <w:tcPr/>
          <w:p>
            <w:pPr>
              <w:pStyle w:val="Compact"/>
            </w:pPr>
            <w:r>
              <w:t xml:space="preserve">2 camadas conv (128 filtros)</w:t>
            </w:r>
          </w:p>
        </w:tc>
        <w:tc>
          <w:tcPr/>
          <w:p>
            <w:pPr>
              <w:pStyle w:val="Compact"/>
            </w:pPr>
            <w:r>
              <w:t xml:space="preserve">56×56×128</w:t>
            </w:r>
          </w:p>
        </w:tc>
      </w:tr>
      <w:tr>
        <w:tc>
          <w:tcPr/>
          <w:p>
            <w:pPr>
              <w:pStyle w:val="Compact"/>
            </w:pPr>
            <w:r>
              <w:t xml:space="preserve">Camada 3</w:t>
            </w:r>
          </w:p>
        </w:tc>
        <w:tc>
          <w:tcPr/>
          <w:p>
            <w:pPr>
              <w:pStyle w:val="Compact"/>
            </w:pPr>
            <w:r>
              <w:t xml:space="preserve">3 camadas conv (256 filtros)</w:t>
            </w:r>
          </w:p>
        </w:tc>
        <w:tc>
          <w:tcPr/>
          <w:p>
            <w:pPr>
              <w:pStyle w:val="Compact"/>
            </w:pPr>
            <w:r>
              <w:t xml:space="preserve">28×28×256</w:t>
            </w:r>
          </w:p>
        </w:tc>
      </w:tr>
      <w:tr>
        <w:tc>
          <w:tcPr/>
          <w:p>
            <w:pPr>
              <w:pStyle w:val="Compact"/>
            </w:pPr>
            <w:r>
              <w:t xml:space="preserve">Camada 4</w:t>
            </w:r>
          </w:p>
        </w:tc>
        <w:tc>
          <w:tcPr/>
          <w:p>
            <w:pPr>
              <w:pStyle w:val="Compact"/>
            </w:pPr>
            <w:r>
              <w:t xml:space="preserve">3 camadas conv (512 filtros)</w:t>
            </w:r>
          </w:p>
        </w:tc>
        <w:tc>
          <w:tcPr/>
          <w:p>
            <w:pPr>
              <w:pStyle w:val="Compact"/>
            </w:pPr>
            <w:r>
              <w:t xml:space="preserve">14×14×512</w:t>
            </w:r>
          </w:p>
        </w:tc>
      </w:tr>
      <w:tr>
        <w:tc>
          <w:tcPr/>
          <w:p>
            <w:pPr>
              <w:pStyle w:val="Compact"/>
            </w:pPr>
            <w:r>
              <w:t xml:space="preserve">Camada 5</w:t>
            </w:r>
          </w:p>
        </w:tc>
        <w:tc>
          <w:tcPr/>
          <w:p>
            <w:pPr>
              <w:pStyle w:val="Compact"/>
            </w:pPr>
            <w:r>
              <w:t xml:space="preserve">3 camadas conv (512 filtros)</w:t>
            </w:r>
          </w:p>
        </w:tc>
        <w:tc>
          <w:tcPr/>
          <w:p>
            <w:pPr>
              <w:pStyle w:val="Compact"/>
            </w:pPr>
            <w:r>
              <w:t xml:space="preserve">7×7×512</w:t>
            </w:r>
          </w:p>
        </w:tc>
      </w:tr>
    </w:tbl>
    <w:p>
      <w:pPr>
        <w:pStyle w:val="BodyText"/>
      </w:pPr>
      <w:r>
        <w:t xml:space="preserve">As características são extraídas após cada camada de max-pooling, aplicando Global Average Pooling (GAP) para obter vetores de características de tamanho fixo. As dimensões resultantes são 64, 128, 256, 512 e 512 para as camadas 1 a 5, respectivamente.</w:t>
      </w:r>
    </w:p>
    <w:p>
      <w:pPr>
        <w:pStyle w:val="BodyText"/>
      </w:pPr>
      <w:r>
        <w:t xml:space="preserve">A arquitetura sequencial da VGG-16 fornece progressão hierárquica clara de características, onde camadas iniciais capturam bordas e cores, enquanto camadas mais profundas codificam padrões e texturas cada vez mais complexos.</w:t>
      </w:r>
    </w:p>
    <w:bookmarkEnd w:id="12"/>
    <w:bookmarkStart w:id="13" w:name="X099c77305de20fb734f099ba717901a4f556ae0"/>
    <w:p>
      <w:pPr>
        <w:pStyle w:val="Heading3"/>
      </w:pPr>
      <w:r>
        <w:t xml:space="preserve">B. iBOT: Vision Transformer com Pré-treinamento Auto-supervisionado</w:t>
      </w:r>
    </w:p>
    <w:p>
      <w:pPr>
        <w:pStyle w:val="FirstParagraph"/>
      </w:pPr>
      <w:r>
        <w:t xml:space="preserve">O iBOT (Image BERT Pre-Training with Online Tokenizer) [7] é um Vision Transformer pré-treinado usando uma abordagem auto-supervisionada baseada em modelagem de imagem mascarada. O modelo aprende representações visuais prevendo patches de imagem mascarados usando um tokenizador online.</w:t>
      </w:r>
    </w:p>
    <w:p>
      <w:pPr>
        <w:pStyle w:val="BodyText"/>
      </w:pPr>
      <w:r>
        <w:rPr>
          <w:b/>
          <w:bCs/>
        </w:rPr>
        <w:t xml:space="preserve">Detalhes da Arquitetura (ViT-S/16):</w:t>
      </w:r>
    </w:p>
    <w:p>
      <w:pPr>
        <w:pStyle w:val="Compact"/>
        <w:numPr>
          <w:ilvl w:val="0"/>
          <w:numId w:val="1003"/>
        </w:numPr>
      </w:pPr>
      <w:r>
        <w:rPr>
          <w:b/>
          <w:bCs/>
        </w:rPr>
        <w:t xml:space="preserve">Embedding de Patch</w:t>
      </w:r>
      <w:r>
        <w:t xml:space="preserve">: Imagens divididas em patches 16×16, produzindo 196 patches para imagens 224×224</w:t>
      </w:r>
    </w:p>
    <w:p>
      <w:pPr>
        <w:pStyle w:val="Compact"/>
        <w:numPr>
          <w:ilvl w:val="0"/>
          <w:numId w:val="1003"/>
        </w:numPr>
      </w:pPr>
      <w:r>
        <w:rPr>
          <w:b/>
          <w:bCs/>
        </w:rPr>
        <w:t xml:space="preserve">Blocos Transformer</w:t>
      </w:r>
      <w:r>
        <w:t xml:space="preserve">: 12 blocos codificadores transformer</w:t>
      </w:r>
    </w:p>
    <w:p>
      <w:pPr>
        <w:pStyle w:val="Compact"/>
        <w:numPr>
          <w:ilvl w:val="0"/>
          <w:numId w:val="1003"/>
        </w:numPr>
      </w:pPr>
      <w:r>
        <w:rPr>
          <w:b/>
          <w:bCs/>
        </w:rPr>
        <w:t xml:space="preserve">Dimensão de Embedding</w:t>
      </w:r>
      <w:r>
        <w:t xml:space="preserve">: 384 dimensões ao longo de todos os blocos</w:t>
      </w:r>
    </w:p>
    <w:p>
      <w:pPr>
        <w:pStyle w:val="Compact"/>
        <w:numPr>
          <w:ilvl w:val="0"/>
          <w:numId w:val="1003"/>
        </w:numPr>
      </w:pPr>
      <w:r>
        <w:rPr>
          <w:b/>
          <w:bCs/>
        </w:rPr>
        <w:t xml:space="preserve">Cabeças de Atenção</w:t>
      </w:r>
      <w:r>
        <w:t xml:space="preserve">: 6 cabeças por bloco</w:t>
      </w:r>
    </w:p>
    <w:p>
      <w:pPr>
        <w:pStyle w:val="Compact"/>
        <w:numPr>
          <w:ilvl w:val="0"/>
          <w:numId w:val="1003"/>
        </w:numPr>
      </w:pPr>
      <w:r>
        <w:rPr>
          <w:b/>
          <w:bCs/>
        </w:rPr>
        <w:t xml:space="preserve">Token CLS</w:t>
      </w:r>
      <w:r>
        <w:t xml:space="preserve">: Token de classificação aprendível prefixado à sequência de patches</w:t>
      </w:r>
    </w:p>
    <w:p>
      <w:pPr>
        <w:pStyle w:val="FirstParagraph"/>
      </w:pPr>
      <w:r>
        <w:t xml:space="preserve">Diferentemente das CNNs, Vision Transformers mantêm dimensionalidade consistente (384) em todas as camadas. Características podem ser extraídas de cada um dos 12 blocos transformer usando duas estratégias:</w:t>
      </w:r>
    </w:p>
    <w:p>
      <w:pPr>
        <w:pStyle w:val="Compact"/>
        <w:numPr>
          <w:ilvl w:val="0"/>
          <w:numId w:val="1004"/>
        </w:numPr>
      </w:pPr>
      <w:r>
        <w:rPr>
          <w:b/>
          <w:bCs/>
        </w:rPr>
        <w:t xml:space="preserve">Token CLS</w:t>
      </w:r>
      <w:r>
        <w:t xml:space="preserve">: Extrair o token de classificação de cada bloco</w:t>
      </w:r>
    </w:p>
    <w:p>
      <w:pPr>
        <w:pStyle w:val="Compact"/>
        <w:numPr>
          <w:ilvl w:val="0"/>
          <w:numId w:val="1004"/>
        </w:numPr>
      </w:pPr>
      <w:r>
        <w:rPr>
          <w:b/>
          <w:bCs/>
        </w:rPr>
        <w:t xml:space="preserve">Média dos Patches</w:t>
      </w:r>
      <w:r>
        <w:t xml:space="preserve">: Calcular a média de todos os embeddings de patch (excluindo CLS)</w:t>
      </w:r>
    </w:p>
    <w:p>
      <w:pPr>
        <w:pStyle w:val="FirstParagraph"/>
      </w:pPr>
      <w:r>
        <w:t xml:space="preserve">Neste estudo, utilizamos primariamente o método de extração do token CLS, pois fornece uma representação global da imagem de entrada em cada nível de profundidade.</w:t>
      </w:r>
    </w:p>
    <w:p>
      <w:pPr>
        <w:pStyle w:val="BodyText"/>
      </w:pPr>
      <w:r>
        <w:t xml:space="preserve">O pré-treinamento auto-supervisionado permite que o iBOT aprenda características semânticas ricas sem dados rotulados, potencialmente capturando diferentes aspectos de informação visual comparado ao pré-treinamento supervisionado.</w:t>
      </w:r>
    </w:p>
    <w:bookmarkEnd w:id="13"/>
    <w:bookmarkStart w:id="14" w:name="Xaf8421002575c33098b334723001aa75f738f18"/>
    <w:p>
      <w:pPr>
        <w:pStyle w:val="Heading3"/>
      </w:pPr>
      <w:r>
        <w:t xml:space="preserve">C. VMamba: Modelo Visual de Espaço de Estados</w:t>
      </w:r>
    </w:p>
    <w:p>
      <w:pPr>
        <w:pStyle w:val="FirstParagraph"/>
      </w:pPr>
      <w:r>
        <w:t xml:space="preserve">O VMamba [5] adapta a arquitetura Mamba—um modelo seletivo de espaço de estados—para tarefas visuais. Diferentemente de transformers com complexidade quadrática no comprimento da sequência, o VMamba alcança complexidade linear enquanto mantém fortes capacidades de extração de características visuais.</w:t>
      </w:r>
    </w:p>
    <w:p>
      <w:pPr>
        <w:pStyle w:val="BodyText"/>
      </w:pPr>
      <w:r>
        <w:rPr>
          <w:b/>
          <w:bCs/>
        </w:rPr>
        <w:t xml:space="preserve">Detalhes da Arquitetura (VMamba-Tiny):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Estágio</w:t>
            </w:r>
          </w:p>
        </w:tc>
        <w:tc>
          <w:tcPr/>
          <w:p>
            <w:pPr>
              <w:pStyle w:val="Compact"/>
            </w:pPr>
            <w:r>
              <w:t xml:space="preserve">Blocos VSS</w:t>
            </w:r>
          </w:p>
        </w:tc>
        <w:tc>
          <w:tcPr/>
          <w:p>
            <w:pPr>
              <w:pStyle w:val="Compact"/>
            </w:pPr>
            <w:r>
              <w:t xml:space="preserve">Canais</w:t>
            </w:r>
          </w:p>
        </w:tc>
        <w:tc>
          <w:tcPr/>
          <w:p>
            <w:pPr>
              <w:pStyle w:val="Compact"/>
            </w:pPr>
            <w:r>
              <w:t xml:space="preserve">Resolução Espacial</w:t>
            </w:r>
          </w:p>
        </w:tc>
      </w:tr>
      <w:tr>
        <w:tc>
          <w:tcPr/>
          <w:p>
            <w:pPr>
              <w:pStyle w:val="Compact"/>
            </w:pPr>
            <w:r>
              <w:t xml:space="preserve">Estágio 1</w:t>
            </w:r>
          </w:p>
        </w:tc>
        <w:tc>
          <w:tcPr/>
          <w:p>
            <w:pPr>
              <w:pStyle w:val="Compact"/>
            </w:pPr>
            <w:r>
              <w:t xml:space="preserve">2</w:t>
            </w:r>
          </w:p>
        </w:tc>
        <w:tc>
          <w:tcPr/>
          <w:p>
            <w:pPr>
              <w:pStyle w:val="Compact"/>
            </w:pPr>
            <w:r>
              <w:t xml:space="preserve">96</w:t>
            </w:r>
          </w:p>
        </w:tc>
        <w:tc>
          <w:tcPr/>
          <w:p>
            <w:pPr>
              <w:pStyle w:val="Compact"/>
            </w:pPr>
            <w:r>
              <w:t xml:space="preserve">56×56</w:t>
            </w:r>
          </w:p>
        </w:tc>
      </w:tr>
      <w:tr>
        <w:tc>
          <w:tcPr/>
          <w:p>
            <w:pPr>
              <w:pStyle w:val="Compact"/>
            </w:pPr>
            <w:r>
              <w:t xml:space="preserve">Estágio 2</w:t>
            </w:r>
          </w:p>
        </w:tc>
        <w:tc>
          <w:tcPr/>
          <w:p>
            <w:pPr>
              <w:pStyle w:val="Compact"/>
            </w:pPr>
            <w:r>
              <w:t xml:space="preserve">2</w:t>
            </w:r>
          </w:p>
        </w:tc>
        <w:tc>
          <w:tcPr/>
          <w:p>
            <w:pPr>
              <w:pStyle w:val="Compact"/>
            </w:pPr>
            <w:r>
              <w:t xml:space="preserve">192</w:t>
            </w:r>
          </w:p>
        </w:tc>
        <w:tc>
          <w:tcPr/>
          <w:p>
            <w:pPr>
              <w:pStyle w:val="Compact"/>
            </w:pPr>
            <w:r>
              <w:t xml:space="preserve">28×28</w:t>
            </w:r>
          </w:p>
        </w:tc>
      </w:tr>
      <w:tr>
        <w:tc>
          <w:tcPr/>
          <w:p>
            <w:pPr>
              <w:pStyle w:val="Compact"/>
            </w:pPr>
            <w:r>
              <w:t xml:space="preserve">Estágio 3</w:t>
            </w:r>
          </w:p>
        </w:tc>
        <w:tc>
          <w:tcPr/>
          <w:p>
            <w:pPr>
              <w:pStyle w:val="Compact"/>
            </w:pPr>
            <w:r>
              <w:t xml:space="preserve">8</w:t>
            </w:r>
          </w:p>
        </w:tc>
        <w:tc>
          <w:tcPr/>
          <w:p>
            <w:pPr>
              <w:pStyle w:val="Compact"/>
            </w:pPr>
            <w:r>
              <w:t xml:space="preserve">384</w:t>
            </w:r>
          </w:p>
        </w:tc>
        <w:tc>
          <w:tcPr/>
          <w:p>
            <w:pPr>
              <w:pStyle w:val="Compact"/>
            </w:pPr>
            <w:r>
              <w:t xml:space="preserve">14×14</w:t>
            </w:r>
          </w:p>
        </w:tc>
      </w:tr>
      <w:tr>
        <w:tc>
          <w:tcPr/>
          <w:p>
            <w:pPr>
              <w:pStyle w:val="Compact"/>
            </w:pPr>
            <w:r>
              <w:t xml:space="preserve">Estágio 4</w:t>
            </w:r>
          </w:p>
        </w:tc>
        <w:tc>
          <w:tcPr/>
          <w:p>
            <w:pPr>
              <w:pStyle w:val="Compact"/>
            </w:pPr>
            <w:r>
              <w:t xml:space="preserve">2</w:t>
            </w:r>
          </w:p>
        </w:tc>
        <w:tc>
          <w:tcPr/>
          <w:p>
            <w:pPr>
              <w:pStyle w:val="Compact"/>
            </w:pPr>
            <w:r>
              <w:t xml:space="preserve">768</w:t>
            </w:r>
          </w:p>
        </w:tc>
        <w:tc>
          <w:tcPr/>
          <w:p>
            <w:pPr>
              <w:pStyle w:val="Compact"/>
            </w:pPr>
            <w:r>
              <w:t xml:space="preserve">7×7</w:t>
            </w:r>
          </w:p>
        </w:tc>
      </w:tr>
    </w:tbl>
    <w:p>
      <w:pPr>
        <w:pStyle w:val="BodyText"/>
      </w:pPr>
      <w:r>
        <w:t xml:space="preserve">O VMamba emprega uma estrutura piramidal hierárquica similar às CNNs, com resolução espacial diminuindo e contagem de canais aumentando em cada estágio. Características são extraídas da saída de cada estágio usando Global Average Pooling, resultando em dimensões de 96, 192, 384 e 768 para os estágios 1 a 4.</w:t>
      </w:r>
    </w:p>
    <w:p>
      <w:pPr>
        <w:pStyle w:val="BodyText"/>
      </w:pPr>
      <w:r>
        <w:t xml:space="preserve">Os blocos Visual State Space (VSS) usam mecanismos de varredura seletiva para processar características de imagem como sequências, capturando dependências de longo alcance eficientemente. Esta arquitetura combina os vieses indutivos hierárquicos das CNNs com as capacidades de modelagem de sequência dos modelos de espaço de estados.</w:t>
      </w:r>
    </w:p>
    <w:bookmarkEnd w:id="14"/>
    <w:bookmarkStart w:id="15" w:name="d.-comparação-arquitetural"/>
    <w:p>
      <w:pPr>
        <w:pStyle w:val="Heading3"/>
      </w:pPr>
      <w:r>
        <w:t xml:space="preserve">D. Comparação Arquitetural</w:t>
      </w:r>
    </w:p>
    <w:tbl>
      <w:tblPr>
        <w:tblStyle w:val="Table"/>
        <w:tblW w:type="pct" w:w="5000"/>
        <w:tblLayout w:type="fixed"/>
        <w:tblLook w:firstRow="1" w:lastRow="0" w:firstColumn="0" w:lastColumn="0" w:noHBand="0" w:noVBand="0" w:val="0020"/>
      </w:tblPr>
      <w:tblGrid>
        <w:gridCol w:w="2299"/>
        <w:gridCol w:w="2043"/>
        <w:gridCol w:w="1532"/>
        <w:gridCol w:w="2043"/>
      </w:tblGrid>
      <w:tr>
        <w:trPr>
          <w:tblHeader w:val="on"/>
        </w:trPr>
        <w:tc>
          <w:tcPr/>
          <w:p>
            <w:pPr>
              <w:pStyle w:val="Compact"/>
            </w:pPr>
            <w:r>
              <w:t xml:space="preserve">Aspecto</w:t>
            </w:r>
          </w:p>
        </w:tc>
        <w:tc>
          <w:tcPr/>
          <w:p>
            <w:pPr>
              <w:pStyle w:val="Compact"/>
            </w:pPr>
            <w:r>
              <w:t xml:space="preserve">VGG-16</w:t>
            </w:r>
          </w:p>
        </w:tc>
        <w:tc>
          <w:tcPr/>
          <w:p>
            <w:pPr>
              <w:pStyle w:val="Compact"/>
            </w:pPr>
            <w:r>
              <w:t xml:space="preserve">iBOT</w:t>
            </w:r>
          </w:p>
        </w:tc>
        <w:tc>
          <w:tcPr/>
          <w:p>
            <w:pPr>
              <w:pStyle w:val="Compact"/>
            </w:pPr>
            <w:r>
              <w:t xml:space="preserve">VMamba</w:t>
            </w:r>
          </w:p>
        </w:tc>
      </w:tr>
      <w:tr>
        <w:tc>
          <w:tcPr/>
          <w:p>
            <w:pPr>
              <w:pStyle w:val="Compact"/>
            </w:pPr>
            <w:r>
              <w:t xml:space="preserve">Tipo</w:t>
            </w:r>
          </w:p>
        </w:tc>
        <w:tc>
          <w:tcPr/>
          <w:p>
            <w:pPr>
              <w:pStyle w:val="Compact"/>
            </w:pPr>
            <w:r>
              <w:t xml:space="preserve">CNN</w:t>
            </w:r>
          </w:p>
        </w:tc>
        <w:tc>
          <w:tcPr/>
          <w:p>
            <w:pPr>
              <w:pStyle w:val="Compact"/>
            </w:pPr>
            <w:r>
              <w:t xml:space="preserve">Transformer</w:t>
            </w:r>
          </w:p>
        </w:tc>
        <w:tc>
          <w:tcPr/>
          <w:p>
            <w:pPr>
              <w:pStyle w:val="Compact"/>
            </w:pPr>
            <w:r>
              <w:t xml:space="preserve">SSM</w:t>
            </w:r>
          </w:p>
        </w:tc>
      </w:tr>
      <w:tr>
        <w:tc>
          <w:tcPr/>
          <w:p>
            <w:pPr>
              <w:pStyle w:val="Compact"/>
            </w:pPr>
            <w:r>
              <w:t xml:space="preserve">Níveis de Extração</w:t>
            </w:r>
          </w:p>
        </w:tc>
        <w:tc>
          <w:tcPr/>
          <w:p>
            <w:pPr>
              <w:pStyle w:val="Compact"/>
            </w:pPr>
            <w:r>
              <w:t xml:space="preserve">5 camadas</w:t>
            </w:r>
          </w:p>
        </w:tc>
        <w:tc>
          <w:tcPr/>
          <w:p>
            <w:pPr>
              <w:pStyle w:val="Compact"/>
            </w:pPr>
            <w:r>
              <w:t xml:space="preserve">12 blocos</w:t>
            </w:r>
          </w:p>
        </w:tc>
        <w:tc>
          <w:tcPr/>
          <w:p>
            <w:pPr>
              <w:pStyle w:val="Compact"/>
            </w:pPr>
            <w:r>
              <w:t xml:space="preserve">4 estágios</w:t>
            </w:r>
          </w:p>
        </w:tc>
      </w:tr>
      <w:tr>
        <w:tc>
          <w:tcPr/>
          <w:p>
            <w:pPr>
              <w:pStyle w:val="Compact"/>
            </w:pPr>
            <w:r>
              <w:t xml:space="preserve">Dimensionalidade</w:t>
            </w:r>
          </w:p>
        </w:tc>
        <w:tc>
          <w:tcPr/>
          <w:p>
            <w:pPr>
              <w:pStyle w:val="Compact"/>
            </w:pPr>
            <w:r>
              <w:t xml:space="preserve">Progressiva</w:t>
            </w:r>
          </w:p>
        </w:tc>
        <w:tc>
          <w:tcPr/>
          <w:p>
            <w:pPr>
              <w:pStyle w:val="Compact"/>
            </w:pPr>
            <w:r>
              <w:t xml:space="preserve">Uniforme</w:t>
            </w:r>
          </w:p>
        </w:tc>
        <w:tc>
          <w:tcPr/>
          <w:p>
            <w:pPr>
              <w:pStyle w:val="Compact"/>
            </w:pPr>
            <w:r>
              <w:t xml:space="preserve">Progressiva</w:t>
            </w:r>
          </w:p>
        </w:tc>
      </w:tr>
      <w:tr>
        <w:tc>
          <w:tcPr/>
          <w:p>
            <w:pPr>
              <w:pStyle w:val="Compact"/>
            </w:pPr>
            <w:r>
              <w:t xml:space="preserve">Dims. de Características</w:t>
            </w:r>
          </w:p>
        </w:tc>
        <w:tc>
          <w:tcPr/>
          <w:p>
            <w:pPr>
              <w:pStyle w:val="Compact"/>
            </w:pPr>
            <w:r>
              <w:t xml:space="preserve">64-512</w:t>
            </w:r>
          </w:p>
        </w:tc>
        <w:tc>
          <w:tcPr/>
          <w:p>
            <w:pPr>
              <w:pStyle w:val="Compact"/>
            </w:pPr>
            <w:r>
              <w:t xml:space="preserve">384</w:t>
            </w:r>
          </w:p>
        </w:tc>
        <w:tc>
          <w:tcPr/>
          <w:p>
            <w:pPr>
              <w:pStyle w:val="Compact"/>
            </w:pPr>
            <w:r>
              <w:t xml:space="preserve">96-768</w:t>
            </w:r>
          </w:p>
        </w:tc>
      </w:tr>
      <w:tr>
        <w:tc>
          <w:tcPr/>
          <w:p>
            <w:pPr>
              <w:pStyle w:val="Compact"/>
            </w:pPr>
            <w:r>
              <w:t xml:space="preserve">Pré-treinamento</w:t>
            </w:r>
          </w:p>
        </w:tc>
        <w:tc>
          <w:tcPr/>
          <w:p>
            <w:pPr>
              <w:pStyle w:val="Compact"/>
            </w:pPr>
            <w:r>
              <w:t xml:space="preserve">Supervisionado</w:t>
            </w:r>
          </w:p>
        </w:tc>
        <w:tc>
          <w:tcPr/>
          <w:p>
            <w:pPr>
              <w:pStyle w:val="Compact"/>
            </w:pPr>
            <w:r>
              <w:t xml:space="preserve">Auto-supervisionado</w:t>
            </w:r>
          </w:p>
        </w:tc>
        <w:tc>
          <w:tcPr/>
          <w:p>
            <w:pPr>
              <w:pStyle w:val="Compact"/>
            </w:pPr>
            <w:r>
              <w:t xml:space="preserve">Supervisionado</w:t>
            </w:r>
          </w:p>
        </w:tc>
      </w:tr>
      <w:tr>
        <w:tc>
          <w:tcPr/>
          <w:p>
            <w:pPr>
              <w:pStyle w:val="Compact"/>
            </w:pPr>
            <w:r>
              <w:t xml:space="preserve">Complexidade</w:t>
            </w:r>
          </w:p>
        </w:tc>
        <w:tc>
          <w:tcPr/>
          <w:p>
            <w:pPr>
              <w:pStyle w:val="Compact"/>
            </w:pPr>
            <w:r>
              <w:t xml:space="preserve">O(n)</w:t>
            </w:r>
          </w:p>
        </w:tc>
        <w:tc>
          <w:tcPr/>
          <w:p>
            <w:pPr>
              <w:pStyle w:val="Compact"/>
            </w:pPr>
            <w:r>
              <w:t xml:space="preserve">O(n²)</w:t>
            </w:r>
          </w:p>
        </w:tc>
        <w:tc>
          <w:tcPr/>
          <w:p>
            <w:pPr>
              <w:pStyle w:val="Compact"/>
            </w:pPr>
            <w:r>
              <w:t xml:space="preserve">O(n)</w:t>
            </w:r>
          </w:p>
        </w:tc>
      </w:tr>
    </w:tbl>
    <w:p>
      <w:r>
        <w:pict>
          <v:rect style="width:0;height:1.5pt" o:hralign="center" o:hrstd="t" o:hr="t"/>
        </w:pict>
      </w:r>
    </w:p>
    <w:bookmarkEnd w:id="15"/>
    <w:bookmarkEnd w:id="16"/>
    <w:bookmarkStart w:id="20" w:name="iv.-metodologia-aplicada"/>
    <w:p>
      <w:pPr>
        <w:pStyle w:val="Heading2"/>
      </w:pPr>
      <w:r>
        <w:t xml:space="preserve">IV. Metodologia Aplicada</w:t>
      </w:r>
    </w:p>
    <w:p>
      <w:pPr>
        <w:pStyle w:val="FirstParagraph"/>
      </w:pPr>
      <w:r>
        <w:t xml:space="preserve">A metodologia consiste em extrair características de camadas intermediárias de redes backbone pré-treinadas e avaliar sua eficácia para reconhecimento de cor e textura usando um classificador k-NN.</w:t>
      </w:r>
    </w:p>
    <w:bookmarkStart w:id="17" w:name="a.-conjunto-de-dados"/>
    <w:p>
      <w:pPr>
        <w:pStyle w:val="Heading3"/>
      </w:pPr>
      <w:r>
        <w:t xml:space="preserve">A. Conjunto de Dados</w:t>
      </w:r>
    </w:p>
    <w:p>
      <w:pPr>
        <w:pStyle w:val="FirstParagraph"/>
      </w:pPr>
      <w:r>
        <w:t xml:space="preserve">O conjunto de dados usado nesta pesquisa foi criado por Baloian et al. [3], aproveitando imagens provenientes da plataforma Kaggle e outros repositórios online. Apresenta uma coleção diversa de itens de vestuário incluindo chapéus, vestidos, camisas, meias, bolsas e cachecóis.</w:t>
      </w:r>
    </w:p>
    <w:p>
      <w:pPr>
        <w:pStyle w:val="BodyText"/>
      </w:pPr>
      <w:r>
        <w:rPr>
          <w:b/>
          <w:bCs/>
        </w:rPr>
        <w:t xml:space="preserve">Conjunto de Dados de Cor:</w:t>
      </w:r>
      <w:r>
        <w:t xml:space="preserve"> </w:t>
      </w:r>
      <w:r>
        <w:t xml:space="preserve">Contém 1.000 imagens organizadas em 10 classes (100 imagens cada): vermelho, preto, azul, verde, amarelo, cinza, marrom, rosa, roxo e laranja.</w:t>
      </w:r>
    </w:p>
    <w:p>
      <w:pPr>
        <w:pStyle w:val="BodyText"/>
      </w:pPr>
      <w:r>
        <w:rPr>
          <w:b/>
          <w:bCs/>
        </w:rPr>
        <w:t xml:space="preserve">Conjunto de Dados de Textura:</w:t>
      </w:r>
      <w:r>
        <w:t xml:space="preserve"> </w:t>
      </w:r>
      <w:r>
        <w:t xml:space="preserve">Contém 1.000 imagens organizadas em 10 classes (100 imagens cada): quadrados, listras, flores, leopardo, bolinhas, básico, paisley, argyle, pata de galo e lantejoulas.</w:t>
      </w:r>
    </w:p>
    <w:bookmarkEnd w:id="17"/>
    <w:bookmarkStart w:id="18" w:name="X1b746ee0d177360471fb6e00637235073b140b9"/>
    <w:p>
      <w:pPr>
        <w:pStyle w:val="Heading3"/>
      </w:pPr>
      <w:r>
        <w:t xml:space="preserve">B. Processo de Extração de Características</w:t>
      </w:r>
    </w:p>
    <w:p>
      <w:pPr>
        <w:pStyle w:val="FirstParagraph"/>
      </w:pPr>
      <w:r>
        <w:t xml:space="preserve">Para cada arquitetura backbone, características são extraídas de camadas intermediárias da seguinte forma:</w:t>
      </w:r>
    </w:p>
    <w:p>
      <w:pPr>
        <w:numPr>
          <w:ilvl w:val="0"/>
          <w:numId w:val="1005"/>
        </w:numPr>
      </w:pPr>
      <w:r>
        <w:rPr>
          <w:b/>
          <w:bCs/>
        </w:rPr>
        <w:t xml:space="preserve">Pré-processamento de Imagem</w:t>
      </w:r>
      <w:r>
        <w:t xml:space="preserve">: Imagens são redimensionadas para 224×224 pixels e normalizadas usando estatísticas do ImageNet (média=[0.485, 0.456, 0.406], desvio padrão=[0.229, 0.224, 0.225]).</w:t>
      </w:r>
    </w:p>
    <w:p>
      <w:pPr>
        <w:numPr>
          <w:ilvl w:val="0"/>
          <w:numId w:val="1005"/>
        </w:numPr>
      </w:pPr>
      <w:r>
        <w:rPr>
          <w:b/>
          <w:bCs/>
        </w:rPr>
        <w:t xml:space="preserve">Registro de Hooks</w:t>
      </w:r>
      <w:r>
        <w:t xml:space="preserve">: Forward hooks são registrados nas camadas/blocos/estágios alvo para capturar ativações intermediárias durante a inferência.</w:t>
      </w:r>
    </w:p>
    <w:p>
      <w:pPr>
        <w:numPr>
          <w:ilvl w:val="0"/>
          <w:numId w:val="1005"/>
        </w:numPr>
      </w:pPr>
      <w:r>
        <w:rPr>
          <w:b/>
          <w:bCs/>
        </w:rPr>
        <w:t xml:space="preserve">Agregação de Características</w:t>
      </w:r>
      <w:r>
        <w:t xml:space="preserve">:</w:t>
      </w:r>
    </w:p>
    <w:p>
      <w:pPr>
        <w:pStyle w:val="Compact"/>
        <w:numPr>
          <w:ilvl w:val="1"/>
          <w:numId w:val="1006"/>
        </w:numPr>
      </w:pPr>
      <w:r>
        <w:t xml:space="preserve">VGG-16 e VMamba: Global Average Pooling (GAP) sobre dimensões espaciais</w:t>
      </w:r>
    </w:p>
    <w:p>
      <w:pPr>
        <w:pStyle w:val="Compact"/>
        <w:numPr>
          <w:ilvl w:val="1"/>
          <w:numId w:val="1006"/>
        </w:numPr>
      </w:pPr>
      <w:r>
        <w:t xml:space="preserve">iBOT: Extração do token CLS ou média dos embeddings de patch</w:t>
      </w:r>
    </w:p>
    <w:p>
      <w:pPr>
        <w:numPr>
          <w:ilvl w:val="0"/>
          <w:numId w:val="1005"/>
        </w:numPr>
      </w:pPr>
      <w:r>
        <w:rPr>
          <w:b/>
          <w:bCs/>
        </w:rPr>
        <w:t xml:space="preserve">Armazenamento de Características</w:t>
      </w:r>
      <w:r>
        <w:t xml:space="preserve">: Características extraídas são armazenadas para classificação subsequente.</w:t>
      </w:r>
    </w:p>
    <w:bookmarkEnd w:id="18"/>
    <w:bookmarkStart w:id="19" w:name="c.-protocolo-de-classificação"/>
    <w:p>
      <w:pPr>
        <w:pStyle w:val="Heading3"/>
      </w:pPr>
      <w:r>
        <w:t xml:space="preserve">C. Protocolo de Classificação</w:t>
      </w:r>
    </w:p>
    <w:p>
      <w:pPr>
        <w:pStyle w:val="FirstParagraph"/>
      </w:pPr>
      <w:r>
        <w:t xml:space="preserve">O algoritmo k-Nearest Neighbors (k-NN) é usado para classificação com a seguinte configuração:</w:t>
      </w:r>
    </w:p>
    <w:p>
      <w:pPr>
        <w:pStyle w:val="Compact"/>
        <w:numPr>
          <w:ilvl w:val="0"/>
          <w:numId w:val="1007"/>
        </w:numPr>
      </w:pPr>
      <w:r>
        <w:rPr>
          <w:b/>
          <w:bCs/>
        </w:rPr>
        <w:t xml:space="preserve">k</w:t>
      </w:r>
      <w:r>
        <w:t xml:space="preserve">: 5 vizinhos</w:t>
      </w:r>
    </w:p>
    <w:p>
      <w:pPr>
        <w:pStyle w:val="Compact"/>
        <w:numPr>
          <w:ilvl w:val="0"/>
          <w:numId w:val="1007"/>
        </w:numPr>
      </w:pPr>
      <w:r>
        <w:rPr>
          <w:b/>
          <w:bCs/>
        </w:rPr>
        <w:t xml:space="preserve">Métrica de Distância</w:t>
      </w:r>
      <w:r>
        <w:t xml:space="preserve">: Euclidiana (L2)</w:t>
      </w:r>
    </w:p>
    <w:p>
      <w:pPr>
        <w:pStyle w:val="Compact"/>
        <w:numPr>
          <w:ilvl w:val="0"/>
          <w:numId w:val="1007"/>
        </w:numPr>
      </w:pPr>
      <w:r>
        <w:rPr>
          <w:b/>
          <w:bCs/>
        </w:rPr>
        <w:t xml:space="preserve">Validação</w:t>
      </w:r>
      <w:r>
        <w:t xml:space="preserve">: Validação cruzada estratificada de 5 folds</w:t>
      </w:r>
    </w:p>
    <w:p>
      <w:pPr>
        <w:pStyle w:val="Compact"/>
        <w:numPr>
          <w:ilvl w:val="0"/>
          <w:numId w:val="1007"/>
        </w:numPr>
      </w:pPr>
      <w:r>
        <w:rPr>
          <w:b/>
          <w:bCs/>
        </w:rPr>
        <w:t xml:space="preserve">Divisão</w:t>
      </w:r>
      <w:r>
        <w:t xml:space="preserve">: 70% treino, 30% teste por fold</w:t>
      </w:r>
    </w:p>
    <w:p>
      <w:pPr>
        <w:pStyle w:val="FirstParagraph"/>
      </w:pPr>
      <w:r>
        <w:t xml:space="preserve">Para cada camada/bloco/estágio de cada arquitetura, calculamos:</w:t>
      </w:r>
      <w:r>
        <w:t xml:space="preserve"> </w:t>
      </w:r>
      <w:r>
        <w:t xml:space="preserve">- Acurácia média através dos 5 folds</w:t>
      </w:r>
      <w:r>
        <w:t xml:space="preserve"> </w:t>
      </w:r>
      <w:r>
        <w:t xml:space="preserve">- Desvio padrão</w:t>
      </w:r>
      <w:r>
        <w:t xml:space="preserve"> </w:t>
      </w:r>
      <w:r>
        <w:t xml:space="preserve">- F1-score (ponderado)</w:t>
      </w:r>
    </w:p>
    <w:p>
      <w:r>
        <w:pict>
          <v:rect style="width:0;height:1.5pt" o:hralign="center" o:hrstd="t" o:hr="t"/>
        </w:pict>
      </w:r>
    </w:p>
    <w:bookmarkEnd w:id="19"/>
    <w:bookmarkEnd w:id="20"/>
    <w:bookmarkStart w:id="26" w:name="v.-resultados-experimentais"/>
    <w:p>
      <w:pPr>
        <w:pStyle w:val="Heading2"/>
      </w:pPr>
      <w:r>
        <w:t xml:space="preserve">V. Resultados Experimentais</w:t>
      </w:r>
    </w:p>
    <w:p>
      <w:pPr>
        <w:pStyle w:val="FirstParagraph"/>
      </w:pPr>
      <w:r>
        <w:t xml:space="preserve">Esta seção apresenta os resultados experimentais para cada arquitetura backbone, analisando seu desempenho por camada para reconhecimento de cor e textura.</w:t>
      </w:r>
    </w:p>
    <w:bookmarkStart w:id="21" w:name="a.-resultados-da-vgg-16"/>
    <w:p>
      <w:pPr>
        <w:pStyle w:val="Heading3"/>
      </w:pPr>
      <w:r>
        <w:t xml:space="preserve">A. Resultados da VGG-16</w:t>
      </w:r>
    </w:p>
    <w:p>
      <w:pPr>
        <w:pStyle w:val="FirstParagraph"/>
      </w:pPr>
      <w:r>
        <w:rPr>
          <w:b/>
          <w:bCs/>
        </w:rPr>
        <w:t xml:space="preserve">Tabela I: Acurácia por Camada da VGG-16 para Cor e Textura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Camada</w:t>
            </w:r>
          </w:p>
        </w:tc>
        <w:tc>
          <w:tcPr/>
          <w:p>
            <w:pPr>
              <w:pStyle w:val="Compact"/>
            </w:pPr>
            <w:r>
              <w:t xml:space="preserve">Cor (%)</w:t>
            </w:r>
          </w:p>
        </w:tc>
        <w:tc>
          <w:tcPr/>
          <w:p>
            <w:pPr>
              <w:pStyle w:val="Compact"/>
            </w:pPr>
            <w:r>
              <w:t xml:space="preserve">Textura (%)</w:t>
            </w:r>
          </w:p>
        </w:tc>
        <w:tc>
          <w:tcPr/>
          <w:p>
            <w:pPr>
              <w:pStyle w:val="Compact"/>
            </w:pPr>
            <w:r>
              <w:t xml:space="preserve">Dimensão</w:t>
            </w:r>
          </w:p>
        </w:tc>
      </w:tr>
      <w:tr>
        <w:tc>
          <w:tcPr/>
          <w:p>
            <w:pPr>
              <w:pStyle w:val="Compact"/>
            </w:pPr>
            <w:r>
              <w:t xml:space="preserve">Camada 1</w:t>
            </w:r>
          </w:p>
        </w:tc>
        <w:tc>
          <w:tcPr/>
          <w:p>
            <w:pPr>
              <w:pStyle w:val="Compact"/>
            </w:pPr>
            <w:r>
              <w:rPr>
                <w:b/>
                <w:bCs/>
              </w:rPr>
              <w:t xml:space="preserve">97,5</w:t>
            </w:r>
          </w:p>
        </w:tc>
        <w:tc>
          <w:tcPr/>
          <w:p>
            <w:pPr>
              <w:pStyle w:val="Compact"/>
            </w:pPr>
            <w:r>
              <w:t xml:space="preserve">77,7</w:t>
            </w:r>
          </w:p>
        </w:tc>
        <w:tc>
          <w:tcPr/>
          <w:p>
            <w:pPr>
              <w:pStyle w:val="Compact"/>
            </w:pPr>
            <w:r>
              <w:t xml:space="preserve">64</w:t>
            </w:r>
          </w:p>
        </w:tc>
      </w:tr>
      <w:tr>
        <w:tc>
          <w:tcPr/>
          <w:p>
            <w:pPr>
              <w:pStyle w:val="Compact"/>
            </w:pPr>
            <w:r>
              <w:t xml:space="preserve">Camada 2</w:t>
            </w:r>
          </w:p>
        </w:tc>
        <w:tc>
          <w:tcPr/>
          <w:p>
            <w:pPr>
              <w:pStyle w:val="Compact"/>
            </w:pPr>
            <w:r>
              <w:t xml:space="preserve">94,7</w:t>
            </w:r>
          </w:p>
        </w:tc>
        <w:tc>
          <w:tcPr/>
          <w:p>
            <w:pPr>
              <w:pStyle w:val="Compact"/>
            </w:pPr>
            <w:r>
              <w:t xml:space="preserve">92,7</w:t>
            </w:r>
          </w:p>
        </w:tc>
        <w:tc>
          <w:tcPr/>
          <w:p>
            <w:pPr>
              <w:pStyle w:val="Compact"/>
            </w:pPr>
            <w:r>
              <w:t xml:space="preserve">128</w:t>
            </w:r>
          </w:p>
        </w:tc>
      </w:tr>
      <w:tr>
        <w:tc>
          <w:tcPr/>
          <w:p>
            <w:pPr>
              <w:pStyle w:val="Compact"/>
            </w:pPr>
            <w:r>
              <w:t xml:space="preserve">Camada 3</w:t>
            </w:r>
          </w:p>
        </w:tc>
        <w:tc>
          <w:tcPr/>
          <w:p>
            <w:pPr>
              <w:pStyle w:val="Compact"/>
            </w:pPr>
            <w:r>
              <w:t xml:space="preserve">89,8</w:t>
            </w:r>
          </w:p>
        </w:tc>
        <w:tc>
          <w:tcPr/>
          <w:p>
            <w:pPr>
              <w:pStyle w:val="Compact"/>
            </w:pPr>
            <w:r>
              <w:rPr>
                <w:b/>
                <w:bCs/>
              </w:rPr>
              <w:t xml:space="preserve">97,9</w:t>
            </w:r>
          </w:p>
        </w:tc>
        <w:tc>
          <w:tcPr/>
          <w:p>
            <w:pPr>
              <w:pStyle w:val="Compact"/>
            </w:pPr>
            <w:r>
              <w:t xml:space="preserve">256</w:t>
            </w:r>
          </w:p>
        </w:tc>
      </w:tr>
      <w:tr>
        <w:tc>
          <w:tcPr/>
          <w:p>
            <w:pPr>
              <w:pStyle w:val="Compact"/>
            </w:pPr>
            <w:r>
              <w:t xml:space="preserve">Camada 4</w:t>
            </w:r>
          </w:p>
        </w:tc>
        <w:tc>
          <w:tcPr/>
          <w:p>
            <w:pPr>
              <w:pStyle w:val="Compact"/>
            </w:pPr>
            <w:r>
              <w:t xml:space="preserve">76,0</w:t>
            </w:r>
          </w:p>
        </w:tc>
        <w:tc>
          <w:tcPr/>
          <w:p>
            <w:pPr>
              <w:pStyle w:val="Compact"/>
            </w:pPr>
            <w:r>
              <w:t xml:space="preserve">95,4</w:t>
            </w:r>
          </w:p>
        </w:tc>
        <w:tc>
          <w:tcPr/>
          <w:p>
            <w:pPr>
              <w:pStyle w:val="Compact"/>
            </w:pPr>
            <w:r>
              <w:t xml:space="preserve">512</w:t>
            </w:r>
          </w:p>
        </w:tc>
      </w:tr>
      <w:tr>
        <w:tc>
          <w:tcPr/>
          <w:p>
            <w:pPr>
              <w:pStyle w:val="Compact"/>
            </w:pPr>
            <w:r>
              <w:t xml:space="preserve">Camada 5</w:t>
            </w:r>
          </w:p>
        </w:tc>
        <w:tc>
          <w:tcPr/>
          <w:p>
            <w:pPr>
              <w:pStyle w:val="Compact"/>
            </w:pPr>
            <w:r>
              <w:t xml:space="preserve">48,9</w:t>
            </w:r>
          </w:p>
        </w:tc>
        <w:tc>
          <w:tcPr/>
          <w:p>
            <w:pPr>
              <w:pStyle w:val="Compact"/>
            </w:pPr>
            <w:r>
              <w:t xml:space="preserve">95,8</w:t>
            </w:r>
          </w:p>
        </w:tc>
        <w:tc>
          <w:tcPr/>
          <w:p>
            <w:pPr>
              <w:pStyle w:val="Compact"/>
            </w:pPr>
            <w:r>
              <w:t xml:space="preserve">512</w:t>
            </w:r>
          </w:p>
        </w:tc>
      </w:tr>
    </w:tbl>
    <w:p>
      <w:pPr>
        <w:pStyle w:val="BodyText"/>
      </w:pPr>
      <w:r>
        <w:t xml:space="preserve">A VGG-16 demonstra clara especialização por camada: a Camada 1 alcança a maior acurácia de cor (97,5%), enquanto a Camada 3 alcança a melhor acurácia de textura (97,9%). O reconhecimento de cor degrada significativamente em camadas mais profundas (48,9% na Camada 5), enquanto o reconhecimento de textura melhora e estabiliza em camadas mais profundas.</w:t>
      </w:r>
    </w:p>
    <w:bookmarkEnd w:id="21"/>
    <w:bookmarkStart w:id="22" w:name="b.-resultados-do-ibot"/>
    <w:p>
      <w:pPr>
        <w:pStyle w:val="Heading3"/>
      </w:pPr>
      <w:r>
        <w:t xml:space="preserve">B. Resultados do iBOT</w:t>
      </w:r>
    </w:p>
    <w:p>
      <w:pPr>
        <w:pStyle w:val="FirstParagraph"/>
      </w:pPr>
      <w:r>
        <w:rPr>
          <w:b/>
          <w:bCs/>
        </w:rPr>
        <w:t xml:space="preserve">Tabela II: Acurácia por Bloco do iBOT para Cor e Textura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Bloco</w:t>
            </w:r>
          </w:p>
        </w:tc>
        <w:tc>
          <w:tcPr/>
          <w:p>
            <w:pPr>
              <w:pStyle w:val="Compact"/>
            </w:pPr>
            <w:r>
              <w:t xml:space="preserve">Cor (%)</w:t>
            </w:r>
          </w:p>
        </w:tc>
        <w:tc>
          <w:tcPr/>
          <w:p>
            <w:pPr>
              <w:pStyle w:val="Compact"/>
            </w:pPr>
            <w:r>
              <w:t xml:space="preserve">Textura (%)</w:t>
            </w:r>
          </w:p>
        </w:tc>
        <w:tc>
          <w:tcPr/>
          <w:p>
            <w:pPr>
              <w:pStyle w:val="Compact"/>
            </w:pPr>
            <w:r>
              <w:t xml:space="preserve">Dimensão</w:t>
            </w:r>
          </w:p>
        </w:tc>
      </w:tr>
      <w:tr>
        <w:tc>
          <w:tcPr/>
          <w:p>
            <w:pPr>
              <w:pStyle w:val="Compact"/>
            </w:pPr>
            <w:r>
              <w:t xml:space="preserve">Bloco 0</w:t>
            </w:r>
          </w:p>
        </w:tc>
        <w:tc>
          <w:tcPr/>
          <w:p>
            <w:pPr>
              <w:pStyle w:val="Compact"/>
            </w:pPr>
            <w:r>
              <w:t xml:space="preserve">93,4</w:t>
            </w:r>
          </w:p>
        </w:tc>
        <w:tc>
          <w:tcPr/>
          <w:p>
            <w:pPr>
              <w:pStyle w:val="Compact"/>
            </w:pPr>
            <w:r>
              <w:t xml:space="preserve">53,6</w:t>
            </w:r>
          </w:p>
        </w:tc>
        <w:tc>
          <w:tcPr/>
          <w:p>
            <w:pPr>
              <w:pStyle w:val="Compact"/>
            </w:pPr>
            <w:r>
              <w:t xml:space="preserve">384</w:t>
            </w:r>
          </w:p>
        </w:tc>
      </w:tr>
      <w:tr>
        <w:tc>
          <w:tcPr/>
          <w:p>
            <w:pPr>
              <w:pStyle w:val="Compact"/>
            </w:pPr>
            <w:r>
              <w:t xml:space="preserve">Bloco 1</w:t>
            </w:r>
          </w:p>
        </w:tc>
        <w:tc>
          <w:tcPr/>
          <w:p>
            <w:pPr>
              <w:pStyle w:val="Compact"/>
            </w:pPr>
            <w:r>
              <w:t xml:space="preserve">95,8</w:t>
            </w:r>
          </w:p>
        </w:tc>
        <w:tc>
          <w:tcPr/>
          <w:p>
            <w:pPr>
              <w:pStyle w:val="Compact"/>
            </w:pPr>
            <w:r>
              <w:t xml:space="preserve">66,4</w:t>
            </w:r>
          </w:p>
        </w:tc>
        <w:tc>
          <w:tcPr/>
          <w:p>
            <w:pPr>
              <w:pStyle w:val="Compact"/>
            </w:pPr>
            <w:r>
              <w:t xml:space="preserve">384</w:t>
            </w:r>
          </w:p>
        </w:tc>
      </w:tr>
      <w:tr>
        <w:tc>
          <w:tcPr/>
          <w:p>
            <w:pPr>
              <w:pStyle w:val="Compact"/>
            </w:pPr>
            <w:r>
              <w:t xml:space="preserve">Bloco 2</w:t>
            </w:r>
          </w:p>
        </w:tc>
        <w:tc>
          <w:tcPr/>
          <w:p>
            <w:pPr>
              <w:pStyle w:val="Compact"/>
            </w:pPr>
            <w:r>
              <w:rPr>
                <w:b/>
                <w:bCs/>
              </w:rPr>
              <w:t xml:space="preserve">96,2</w:t>
            </w:r>
          </w:p>
        </w:tc>
        <w:tc>
          <w:tcPr/>
          <w:p>
            <w:pPr>
              <w:pStyle w:val="Compact"/>
            </w:pPr>
            <w:r>
              <w:t xml:space="preserve">77,8</w:t>
            </w:r>
          </w:p>
        </w:tc>
        <w:tc>
          <w:tcPr/>
          <w:p>
            <w:pPr>
              <w:pStyle w:val="Compact"/>
            </w:pPr>
            <w:r>
              <w:t xml:space="preserve">384</w:t>
            </w:r>
          </w:p>
        </w:tc>
      </w:tr>
      <w:tr>
        <w:tc>
          <w:tcPr/>
          <w:p>
            <w:pPr>
              <w:pStyle w:val="Compact"/>
            </w:pPr>
            <w:r>
              <w:t xml:space="preserve">Bloco 3</w:t>
            </w:r>
          </w:p>
        </w:tc>
        <w:tc>
          <w:tcPr/>
          <w:p>
            <w:pPr>
              <w:pStyle w:val="Compact"/>
            </w:pPr>
            <w:r>
              <w:rPr>
                <w:b/>
                <w:bCs/>
              </w:rPr>
              <w:t xml:space="preserve">96,2</w:t>
            </w:r>
          </w:p>
        </w:tc>
        <w:tc>
          <w:tcPr/>
          <w:p>
            <w:pPr>
              <w:pStyle w:val="Compact"/>
            </w:pPr>
            <w:r>
              <w:t xml:space="preserve">88,6</w:t>
            </w:r>
          </w:p>
        </w:tc>
        <w:tc>
          <w:tcPr/>
          <w:p>
            <w:pPr>
              <w:pStyle w:val="Compact"/>
            </w:pPr>
            <w:r>
              <w:t xml:space="preserve">384</w:t>
            </w:r>
          </w:p>
        </w:tc>
      </w:tr>
      <w:tr>
        <w:tc>
          <w:tcPr/>
          <w:p>
            <w:pPr>
              <w:pStyle w:val="Compact"/>
            </w:pPr>
            <w:r>
              <w:t xml:space="preserve">Bloco 4</w:t>
            </w:r>
          </w:p>
        </w:tc>
        <w:tc>
          <w:tcPr/>
          <w:p>
            <w:pPr>
              <w:pStyle w:val="Compact"/>
            </w:pPr>
            <w:r>
              <w:t xml:space="preserve">92,8</w:t>
            </w:r>
          </w:p>
        </w:tc>
        <w:tc>
          <w:tcPr/>
          <w:p>
            <w:pPr>
              <w:pStyle w:val="Compact"/>
            </w:pPr>
            <w:r>
              <w:t xml:space="preserve">92,0</w:t>
            </w:r>
          </w:p>
        </w:tc>
        <w:tc>
          <w:tcPr/>
          <w:p>
            <w:pPr>
              <w:pStyle w:val="Compact"/>
            </w:pPr>
            <w:r>
              <w:t xml:space="preserve">384</w:t>
            </w:r>
          </w:p>
        </w:tc>
      </w:tr>
      <w:tr>
        <w:tc>
          <w:tcPr/>
          <w:p>
            <w:pPr>
              <w:pStyle w:val="Compact"/>
            </w:pPr>
            <w:r>
              <w:t xml:space="preserve">Bloco 5</w:t>
            </w:r>
          </w:p>
        </w:tc>
        <w:tc>
          <w:tcPr/>
          <w:p>
            <w:pPr>
              <w:pStyle w:val="Compact"/>
            </w:pPr>
            <w:r>
              <w:t xml:space="preserve">89,3</w:t>
            </w:r>
          </w:p>
        </w:tc>
        <w:tc>
          <w:tcPr/>
          <w:p>
            <w:pPr>
              <w:pStyle w:val="Compact"/>
            </w:pPr>
            <w:r>
              <w:t xml:space="preserve">93,2</w:t>
            </w:r>
          </w:p>
        </w:tc>
        <w:tc>
          <w:tcPr/>
          <w:p>
            <w:pPr>
              <w:pStyle w:val="Compact"/>
            </w:pPr>
            <w:r>
              <w:t xml:space="preserve">384</w:t>
            </w:r>
          </w:p>
        </w:tc>
      </w:tr>
      <w:tr>
        <w:tc>
          <w:tcPr/>
          <w:p>
            <w:pPr>
              <w:pStyle w:val="Compact"/>
            </w:pPr>
            <w:r>
              <w:t xml:space="preserve">Bloco 6</w:t>
            </w:r>
          </w:p>
        </w:tc>
        <w:tc>
          <w:tcPr/>
          <w:p>
            <w:pPr>
              <w:pStyle w:val="Compact"/>
            </w:pPr>
            <w:r>
              <w:t xml:space="preserve">85,5</w:t>
            </w:r>
          </w:p>
        </w:tc>
        <w:tc>
          <w:tcPr/>
          <w:p>
            <w:pPr>
              <w:pStyle w:val="Compact"/>
            </w:pPr>
            <w:r>
              <w:t xml:space="preserve">94,3</w:t>
            </w:r>
          </w:p>
        </w:tc>
        <w:tc>
          <w:tcPr/>
          <w:p>
            <w:pPr>
              <w:pStyle w:val="Compact"/>
            </w:pPr>
            <w:r>
              <w:t xml:space="preserve">384</w:t>
            </w:r>
          </w:p>
        </w:tc>
      </w:tr>
      <w:tr>
        <w:tc>
          <w:tcPr/>
          <w:p>
            <w:pPr>
              <w:pStyle w:val="Compact"/>
            </w:pPr>
            <w:r>
              <w:t xml:space="preserve">Bloco 7</w:t>
            </w:r>
          </w:p>
        </w:tc>
        <w:tc>
          <w:tcPr/>
          <w:p>
            <w:pPr>
              <w:pStyle w:val="Compact"/>
            </w:pPr>
            <w:r>
              <w:t xml:space="preserve">84,6</w:t>
            </w:r>
          </w:p>
        </w:tc>
        <w:tc>
          <w:tcPr/>
          <w:p>
            <w:pPr>
              <w:pStyle w:val="Compact"/>
            </w:pPr>
            <w:r>
              <w:t xml:space="preserve">93,8</w:t>
            </w:r>
          </w:p>
        </w:tc>
        <w:tc>
          <w:tcPr/>
          <w:p>
            <w:pPr>
              <w:pStyle w:val="Compact"/>
            </w:pPr>
            <w:r>
              <w:t xml:space="preserve">384</w:t>
            </w:r>
          </w:p>
        </w:tc>
      </w:tr>
      <w:tr>
        <w:tc>
          <w:tcPr/>
          <w:p>
            <w:pPr>
              <w:pStyle w:val="Compact"/>
            </w:pPr>
            <w:r>
              <w:t xml:space="preserve">Bloco 8</w:t>
            </w:r>
          </w:p>
        </w:tc>
        <w:tc>
          <w:tcPr/>
          <w:p>
            <w:pPr>
              <w:pStyle w:val="Compact"/>
            </w:pPr>
            <w:r>
              <w:t xml:space="preserve">77,6</w:t>
            </w:r>
          </w:p>
        </w:tc>
        <w:tc>
          <w:tcPr/>
          <w:p>
            <w:pPr>
              <w:pStyle w:val="Compact"/>
            </w:pPr>
            <w:r>
              <w:t xml:space="preserve">96,8</w:t>
            </w:r>
          </w:p>
        </w:tc>
        <w:tc>
          <w:tcPr/>
          <w:p>
            <w:pPr>
              <w:pStyle w:val="Compact"/>
            </w:pPr>
            <w:r>
              <w:t xml:space="preserve">384</w:t>
            </w:r>
          </w:p>
        </w:tc>
      </w:tr>
      <w:tr>
        <w:tc>
          <w:tcPr/>
          <w:p>
            <w:pPr>
              <w:pStyle w:val="Compact"/>
            </w:pPr>
            <w:r>
              <w:t xml:space="preserve">Bloco 9</w:t>
            </w:r>
          </w:p>
        </w:tc>
        <w:tc>
          <w:tcPr/>
          <w:p>
            <w:pPr>
              <w:pStyle w:val="Compact"/>
            </w:pPr>
            <w:r>
              <w:t xml:space="preserve">71,8</w:t>
            </w:r>
          </w:p>
        </w:tc>
        <w:tc>
          <w:tcPr/>
          <w:p>
            <w:pPr>
              <w:pStyle w:val="Compact"/>
            </w:pPr>
            <w:r>
              <w:t xml:space="preserve">97,2</w:t>
            </w:r>
          </w:p>
        </w:tc>
        <w:tc>
          <w:tcPr/>
          <w:p>
            <w:pPr>
              <w:pStyle w:val="Compact"/>
            </w:pPr>
            <w:r>
              <w:t xml:space="preserve">384</w:t>
            </w:r>
          </w:p>
        </w:tc>
      </w:tr>
      <w:tr>
        <w:tc>
          <w:tcPr/>
          <w:p>
            <w:pPr>
              <w:pStyle w:val="Compact"/>
            </w:pPr>
            <w:r>
              <w:t xml:space="preserve">Bloco 10</w:t>
            </w:r>
          </w:p>
        </w:tc>
        <w:tc>
          <w:tcPr/>
          <w:p>
            <w:pPr>
              <w:pStyle w:val="Compact"/>
            </w:pPr>
            <w:r>
              <w:t xml:space="preserve">68,5</w:t>
            </w:r>
          </w:p>
        </w:tc>
        <w:tc>
          <w:tcPr/>
          <w:p>
            <w:pPr>
              <w:pStyle w:val="Compact"/>
            </w:pPr>
            <w:r>
              <w:t xml:space="preserve">97,6</w:t>
            </w:r>
          </w:p>
        </w:tc>
        <w:tc>
          <w:tcPr/>
          <w:p>
            <w:pPr>
              <w:pStyle w:val="Compact"/>
            </w:pPr>
            <w:r>
              <w:t xml:space="preserve">384</w:t>
            </w:r>
          </w:p>
        </w:tc>
      </w:tr>
      <w:tr>
        <w:tc>
          <w:tcPr/>
          <w:p>
            <w:pPr>
              <w:pStyle w:val="Compact"/>
            </w:pPr>
            <w:r>
              <w:t xml:space="preserve">Bloco 11</w:t>
            </w:r>
          </w:p>
        </w:tc>
        <w:tc>
          <w:tcPr/>
          <w:p>
            <w:pPr>
              <w:pStyle w:val="Compact"/>
            </w:pPr>
            <w:r>
              <w:t xml:space="preserve">64,0</w:t>
            </w:r>
          </w:p>
        </w:tc>
        <w:tc>
          <w:tcPr/>
          <w:p>
            <w:pPr>
              <w:pStyle w:val="Compact"/>
            </w:pPr>
            <w:r>
              <w:rPr>
                <w:b/>
                <w:bCs/>
              </w:rPr>
              <w:t xml:space="preserve">97,9</w:t>
            </w:r>
          </w:p>
        </w:tc>
        <w:tc>
          <w:tcPr/>
          <w:p>
            <w:pPr>
              <w:pStyle w:val="Compact"/>
            </w:pPr>
            <w:r>
              <w:t xml:space="preserve">384</w:t>
            </w:r>
          </w:p>
        </w:tc>
      </w:tr>
    </w:tbl>
    <w:p>
      <w:pPr>
        <w:pStyle w:val="BodyText"/>
      </w:pPr>
      <w:r>
        <w:t xml:space="preserve">O iBOT exibe uma compensação pronunciada entre cor e textura ao longo de sua profundidade. Blocos iniciais a intermediários (2-3) alcançam o melhor reconhecimento de cor (96,2%), enquanto os blocos mais profundos (8-11) alcançam a maior acurácia de textura (97,9%). Isso sugere que o pré-treinamento auto-supervisionado do iBOT cria forte especialização hierárquica de características.</w:t>
      </w:r>
    </w:p>
    <w:bookmarkEnd w:id="22"/>
    <w:bookmarkStart w:id="23" w:name="c.-resultados-do-vmamba"/>
    <w:p>
      <w:pPr>
        <w:pStyle w:val="Heading3"/>
      </w:pPr>
      <w:r>
        <w:t xml:space="preserve">C. Resultados do VMamba</w:t>
      </w:r>
    </w:p>
    <w:p>
      <w:pPr>
        <w:pStyle w:val="FirstParagraph"/>
      </w:pPr>
      <w:r>
        <w:rPr>
          <w:b/>
          <w:bCs/>
        </w:rPr>
        <w:t xml:space="preserve">Tabela III: Acurácia por Estágio do VMamba para Cor e Textura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Estágio</w:t>
            </w:r>
          </w:p>
        </w:tc>
        <w:tc>
          <w:tcPr/>
          <w:p>
            <w:pPr>
              <w:pStyle w:val="Compact"/>
            </w:pPr>
            <w:r>
              <w:t xml:space="preserve">Cor (%)</w:t>
            </w:r>
          </w:p>
        </w:tc>
        <w:tc>
          <w:tcPr/>
          <w:p>
            <w:pPr>
              <w:pStyle w:val="Compact"/>
            </w:pPr>
            <w:r>
              <w:t xml:space="preserve">Desvio Padrão</w:t>
            </w:r>
          </w:p>
        </w:tc>
        <w:tc>
          <w:tcPr/>
          <w:p>
            <w:pPr>
              <w:pStyle w:val="Compact"/>
            </w:pPr>
            <w:r>
              <w:t xml:space="preserve">Textura (%)</w:t>
            </w:r>
          </w:p>
        </w:tc>
        <w:tc>
          <w:tcPr/>
          <w:p>
            <w:pPr>
              <w:pStyle w:val="Compact"/>
            </w:pPr>
            <w:r>
              <w:t xml:space="preserve">Dimensão</w:t>
            </w:r>
          </w:p>
        </w:tc>
      </w:tr>
      <w:tr>
        <w:tc>
          <w:tcPr/>
          <w:p>
            <w:pPr>
              <w:pStyle w:val="Compact"/>
            </w:pPr>
            <w:r>
              <w:t xml:space="preserve">Estágio 1</w:t>
            </w:r>
          </w:p>
        </w:tc>
        <w:tc>
          <w:tcPr/>
          <w:p>
            <w:pPr>
              <w:pStyle w:val="Compact"/>
            </w:pPr>
            <w:r>
              <w:rPr>
                <w:b/>
                <w:bCs/>
              </w:rPr>
              <w:t xml:space="preserve">94,0</w:t>
            </w:r>
          </w:p>
        </w:tc>
        <w:tc>
          <w:tcPr/>
          <w:p>
            <w:pPr>
              <w:pStyle w:val="Compact"/>
            </w:pPr>
            <w:r>
              <w:t xml:space="preserve">1,38</w:t>
            </w:r>
          </w:p>
        </w:tc>
        <w:tc>
          <w:tcPr/>
          <w:p>
            <w:pPr>
              <w:pStyle w:val="Compact"/>
            </w:pPr>
            <w:r>
              <w:t xml:space="preserve">86,8</w:t>
            </w:r>
          </w:p>
        </w:tc>
        <w:tc>
          <w:tcPr/>
          <w:p>
            <w:pPr>
              <w:pStyle w:val="Compact"/>
            </w:pPr>
            <w:r>
              <w:t xml:space="preserve">96</w:t>
            </w:r>
          </w:p>
        </w:tc>
      </w:tr>
      <w:tr>
        <w:tc>
          <w:tcPr/>
          <w:p>
            <w:pPr>
              <w:pStyle w:val="Compact"/>
            </w:pPr>
            <w:r>
              <w:t xml:space="preserve">Estágio 2</w:t>
            </w:r>
          </w:p>
        </w:tc>
        <w:tc>
          <w:tcPr/>
          <w:p>
            <w:pPr>
              <w:pStyle w:val="Compact"/>
            </w:pPr>
            <w:r>
              <w:t xml:space="preserve">92,2</w:t>
            </w:r>
          </w:p>
        </w:tc>
        <w:tc>
          <w:tcPr/>
          <w:p>
            <w:pPr>
              <w:pStyle w:val="Compact"/>
            </w:pPr>
            <w:r>
              <w:t xml:space="preserve">2,06</w:t>
            </w:r>
          </w:p>
        </w:tc>
        <w:tc>
          <w:tcPr/>
          <w:p>
            <w:pPr>
              <w:pStyle w:val="Compact"/>
            </w:pPr>
            <w:r>
              <w:rPr>
                <w:b/>
                <w:bCs/>
              </w:rPr>
              <w:t xml:space="preserve">92,5</w:t>
            </w:r>
          </w:p>
        </w:tc>
        <w:tc>
          <w:tcPr/>
          <w:p>
            <w:pPr>
              <w:pStyle w:val="Compact"/>
            </w:pPr>
            <w:r>
              <w:t xml:space="preserve">192</w:t>
            </w:r>
          </w:p>
        </w:tc>
      </w:tr>
      <w:tr>
        <w:tc>
          <w:tcPr/>
          <w:p>
            <w:pPr>
              <w:pStyle w:val="Compact"/>
            </w:pPr>
            <w:r>
              <w:t xml:space="preserve">Estágio 3</w:t>
            </w:r>
          </w:p>
        </w:tc>
        <w:tc>
          <w:tcPr/>
          <w:p>
            <w:pPr>
              <w:pStyle w:val="Compact"/>
            </w:pPr>
            <w:r>
              <w:t xml:space="preserve">74,9</w:t>
            </w:r>
          </w:p>
        </w:tc>
        <w:tc>
          <w:tcPr/>
          <w:p>
            <w:pPr>
              <w:pStyle w:val="Compact"/>
            </w:pPr>
            <w:r>
              <w:t xml:space="preserve">3,56</w:t>
            </w:r>
          </w:p>
        </w:tc>
        <w:tc>
          <w:tcPr/>
          <w:p>
            <w:pPr>
              <w:pStyle w:val="Compact"/>
            </w:pPr>
            <w:r>
              <w:t xml:space="preserve">89,7</w:t>
            </w:r>
          </w:p>
        </w:tc>
        <w:tc>
          <w:tcPr/>
          <w:p>
            <w:pPr>
              <w:pStyle w:val="Compact"/>
            </w:pPr>
            <w:r>
              <w:t xml:space="preserve">384</w:t>
            </w:r>
          </w:p>
        </w:tc>
      </w:tr>
      <w:tr>
        <w:tc>
          <w:tcPr/>
          <w:p>
            <w:pPr>
              <w:pStyle w:val="Compact"/>
            </w:pPr>
            <w:r>
              <w:t xml:space="preserve">Estágio 4</w:t>
            </w:r>
          </w:p>
        </w:tc>
        <w:tc>
          <w:tcPr/>
          <w:p>
            <w:pPr>
              <w:pStyle w:val="Compact"/>
            </w:pPr>
            <w:r>
              <w:t xml:space="preserve">47,5</w:t>
            </w:r>
          </w:p>
        </w:tc>
        <w:tc>
          <w:tcPr/>
          <w:p>
            <w:pPr>
              <w:pStyle w:val="Compact"/>
            </w:pPr>
            <w:r>
              <w:t xml:space="preserve">2,43</w:t>
            </w:r>
          </w:p>
        </w:tc>
        <w:tc>
          <w:tcPr/>
          <w:p>
            <w:pPr>
              <w:pStyle w:val="Compact"/>
            </w:pPr>
            <w:r>
              <w:t xml:space="preserve">73,9</w:t>
            </w:r>
          </w:p>
        </w:tc>
        <w:tc>
          <w:tcPr/>
          <w:p>
            <w:pPr>
              <w:pStyle w:val="Compact"/>
            </w:pPr>
            <w:r>
              <w:t xml:space="preserve">768</w:t>
            </w:r>
          </w:p>
        </w:tc>
      </w:tr>
    </w:tbl>
    <w:p>
      <w:pPr>
        <w:pStyle w:val="BodyText"/>
      </w:pPr>
      <w:r>
        <w:t xml:space="preserve">O VMamba mostra tendências similares à VGG-16: o Estágio 1 é ótimo para cor (94,0%), enquanto o Estágio 2 fornece o melhor reconhecimento de textura (92,5%). Notavelmente, estágios mais profundos mostram degradação significativa de desempenho para ambos os atributos, sugerindo que a representação hierárquica do VMamba pode ser mais especializada para semântica em nível de objeto do que para atributos visuais de granularidade fina.</w:t>
      </w:r>
    </w:p>
    <w:bookmarkEnd w:id="23"/>
    <w:bookmarkStart w:id="24" w:name="d.-reservado-para-experimento-do-amigo"/>
    <w:p>
      <w:pPr>
        <w:pStyle w:val="Heading3"/>
      </w:pPr>
      <w:r>
        <w:t xml:space="preserve">D. [RESERVADO PARA EXPERIMENTO DO AMIGO]</w:t>
      </w:r>
    </w:p>
    <w:p>
      <w:pPr>
        <w:pStyle w:val="BlockText"/>
      </w:pPr>
      <w:r>
        <w:rPr>
          <w:b/>
          <w:bCs/>
        </w:rPr>
        <w:t xml:space="preserve">[Esta seção será preenchida com os resultados experimentais de [Nome do Amigo], utilizando [arquitetura/modelo].]</w:t>
      </w:r>
    </w:p>
    <w:bookmarkEnd w:id="24"/>
    <w:bookmarkStart w:id="25" w:name="e.-análise-comparativa"/>
    <w:p>
      <w:pPr>
        <w:pStyle w:val="Heading3"/>
      </w:pPr>
      <w:r>
        <w:t xml:space="preserve">E. Análise Comparativa</w:t>
      </w:r>
    </w:p>
    <w:p>
      <w:pPr>
        <w:pStyle w:val="FirstParagraph"/>
      </w:pPr>
      <w:r>
        <w:rPr>
          <w:b/>
          <w:bCs/>
        </w:rPr>
        <w:t xml:space="preserve">Tabela IV: Resumo dos Melhores Resultados por Arquitetura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Modelo</w:t>
            </w:r>
          </w:p>
        </w:tc>
        <w:tc>
          <w:tcPr/>
          <w:p>
            <w:pPr>
              <w:pStyle w:val="Compact"/>
            </w:pPr>
            <w:r>
              <w:t xml:space="preserve">Atributo</w:t>
            </w:r>
          </w:p>
        </w:tc>
        <w:tc>
          <w:tcPr/>
          <w:p>
            <w:pPr>
              <w:pStyle w:val="Compact"/>
            </w:pPr>
            <w:r>
              <w:t xml:space="preserve">Melhor Camada</w:t>
            </w:r>
          </w:p>
        </w:tc>
        <w:tc>
          <w:tcPr/>
          <w:p>
            <w:pPr>
              <w:pStyle w:val="Compact"/>
            </w:pPr>
            <w:r>
              <w:t xml:space="preserve">Acurácia (%)</w:t>
            </w:r>
          </w:p>
        </w:tc>
      </w:tr>
      <w:tr>
        <w:tc>
          <w:tcPr/>
          <w:p>
            <w:pPr>
              <w:pStyle w:val="Compact"/>
            </w:pPr>
            <w:r>
              <w:t xml:space="preserve">VGG-16</w:t>
            </w:r>
          </w:p>
        </w:tc>
        <w:tc>
          <w:tcPr/>
          <w:p>
            <w:pPr>
              <w:pStyle w:val="Compact"/>
            </w:pPr>
            <w:r>
              <w:t xml:space="preserve">Cor</w:t>
            </w:r>
          </w:p>
        </w:tc>
        <w:tc>
          <w:tcPr/>
          <w:p>
            <w:pPr>
              <w:pStyle w:val="Compact"/>
            </w:pPr>
            <w:r>
              <w:t xml:space="preserve">Camada 1</w:t>
            </w:r>
          </w:p>
        </w:tc>
        <w:tc>
          <w:tcPr/>
          <w:p>
            <w:pPr>
              <w:pStyle w:val="Compact"/>
            </w:pPr>
            <w:r>
              <w:t xml:space="preserve">97,5</w:t>
            </w:r>
          </w:p>
        </w:tc>
      </w:tr>
      <w:tr>
        <w:tc>
          <w:tcPr/>
          <w:p>
            <w:pPr>
              <w:pStyle w:val="Compact"/>
            </w:pPr>
            <w:r>
              <w:t xml:space="preserve">VGG-16</w:t>
            </w:r>
          </w:p>
        </w:tc>
        <w:tc>
          <w:tcPr/>
          <w:p>
            <w:pPr>
              <w:pStyle w:val="Compact"/>
            </w:pPr>
            <w:r>
              <w:t xml:space="preserve">Textura</w:t>
            </w:r>
          </w:p>
        </w:tc>
        <w:tc>
          <w:tcPr/>
          <w:p>
            <w:pPr>
              <w:pStyle w:val="Compact"/>
            </w:pPr>
            <w:r>
              <w:t xml:space="preserve">Camada 3</w:t>
            </w:r>
          </w:p>
        </w:tc>
        <w:tc>
          <w:tcPr/>
          <w:p>
            <w:pPr>
              <w:pStyle w:val="Compact"/>
            </w:pPr>
            <w:r>
              <w:t xml:space="preserve">97,9</w:t>
            </w:r>
          </w:p>
        </w:tc>
      </w:tr>
      <w:tr>
        <w:tc>
          <w:tcPr/>
          <w:p>
            <w:pPr>
              <w:pStyle w:val="Compact"/>
            </w:pPr>
            <w:r>
              <w:t xml:space="preserve">iBOT</w:t>
            </w:r>
          </w:p>
        </w:tc>
        <w:tc>
          <w:tcPr/>
          <w:p>
            <w:pPr>
              <w:pStyle w:val="Compact"/>
            </w:pPr>
            <w:r>
              <w:t xml:space="preserve">Cor</w:t>
            </w:r>
          </w:p>
        </w:tc>
        <w:tc>
          <w:tcPr/>
          <w:p>
            <w:pPr>
              <w:pStyle w:val="Compact"/>
            </w:pPr>
            <w:r>
              <w:t xml:space="preserve">Bloco 2-3</w:t>
            </w:r>
          </w:p>
        </w:tc>
        <w:tc>
          <w:tcPr/>
          <w:p>
            <w:pPr>
              <w:pStyle w:val="Compact"/>
            </w:pPr>
            <w:r>
              <w:t xml:space="preserve">96,2</w:t>
            </w:r>
          </w:p>
        </w:tc>
      </w:tr>
      <w:tr>
        <w:tc>
          <w:tcPr/>
          <w:p>
            <w:pPr>
              <w:pStyle w:val="Compact"/>
            </w:pPr>
            <w:r>
              <w:t xml:space="preserve">iBOT</w:t>
            </w:r>
          </w:p>
        </w:tc>
        <w:tc>
          <w:tcPr/>
          <w:p>
            <w:pPr>
              <w:pStyle w:val="Compact"/>
            </w:pPr>
            <w:r>
              <w:t xml:space="preserve">Textura</w:t>
            </w:r>
          </w:p>
        </w:tc>
        <w:tc>
          <w:tcPr/>
          <w:p>
            <w:pPr>
              <w:pStyle w:val="Compact"/>
            </w:pPr>
            <w:r>
              <w:t xml:space="preserve">Bloco 11</w:t>
            </w:r>
          </w:p>
        </w:tc>
        <w:tc>
          <w:tcPr/>
          <w:p>
            <w:pPr>
              <w:pStyle w:val="Compact"/>
            </w:pPr>
            <w:r>
              <w:t xml:space="preserve">97,9</w:t>
            </w:r>
          </w:p>
        </w:tc>
      </w:tr>
      <w:tr>
        <w:tc>
          <w:tcPr/>
          <w:p>
            <w:pPr>
              <w:pStyle w:val="Compact"/>
            </w:pPr>
            <w:r>
              <w:t xml:space="preserve">VMamba</w:t>
            </w:r>
          </w:p>
        </w:tc>
        <w:tc>
          <w:tcPr/>
          <w:p>
            <w:pPr>
              <w:pStyle w:val="Compact"/>
            </w:pPr>
            <w:r>
              <w:t xml:space="preserve">Cor</w:t>
            </w:r>
          </w:p>
        </w:tc>
        <w:tc>
          <w:tcPr/>
          <w:p>
            <w:pPr>
              <w:pStyle w:val="Compact"/>
            </w:pPr>
            <w:r>
              <w:t xml:space="preserve">Estágio 1</w:t>
            </w:r>
          </w:p>
        </w:tc>
        <w:tc>
          <w:tcPr/>
          <w:p>
            <w:pPr>
              <w:pStyle w:val="Compact"/>
            </w:pPr>
            <w:r>
              <w:t xml:space="preserve">94,0</w:t>
            </w:r>
          </w:p>
        </w:tc>
      </w:tr>
      <w:tr>
        <w:tc>
          <w:tcPr/>
          <w:p>
            <w:pPr>
              <w:pStyle w:val="Compact"/>
            </w:pPr>
            <w:r>
              <w:t xml:space="preserve">VMamba</w:t>
            </w:r>
          </w:p>
        </w:tc>
        <w:tc>
          <w:tcPr/>
          <w:p>
            <w:pPr>
              <w:pStyle w:val="Compact"/>
            </w:pPr>
            <w:r>
              <w:t xml:space="preserve">Textura</w:t>
            </w:r>
          </w:p>
        </w:tc>
        <w:tc>
          <w:tcPr/>
          <w:p>
            <w:pPr>
              <w:pStyle w:val="Compact"/>
            </w:pPr>
            <w:r>
              <w:t xml:space="preserve">Estágio 2</w:t>
            </w:r>
          </w:p>
        </w:tc>
        <w:tc>
          <w:tcPr/>
          <w:p>
            <w:pPr>
              <w:pStyle w:val="Compact"/>
            </w:pPr>
            <w:r>
              <w:t xml:space="preserve">92,5</w:t>
            </w:r>
          </w:p>
        </w:tc>
      </w:tr>
    </w:tbl>
    <w:p>
      <w:pPr>
        <w:pStyle w:val="BodyText"/>
      </w:pPr>
      <w:r>
        <w:rPr>
          <w:b/>
          <w:bCs/>
        </w:rPr>
        <w:t xml:space="preserve">Principais Descobertas:</w:t>
      </w:r>
    </w:p>
    <w:p>
      <w:pPr>
        <w:numPr>
          <w:ilvl w:val="0"/>
          <w:numId w:val="1008"/>
        </w:numPr>
      </w:pPr>
      <w:r>
        <w:rPr>
          <w:b/>
          <w:bCs/>
        </w:rPr>
        <w:t xml:space="preserve">Reconhecimento de Cor</w:t>
      </w:r>
      <w:r>
        <w:t xml:space="preserve">: A VGG-16 alcança a maior acurácia de cor (97,5%) em sua primeira camada, seguida pelo iBOT (96,2%) nos blocos 2-3, e VMamba (94,0%) no estágio 1. Todas as arquiteturas mostram reconhecimento ótimo de cor em camadas iniciais.</w:t>
      </w:r>
    </w:p>
    <w:p>
      <w:pPr>
        <w:numPr>
          <w:ilvl w:val="0"/>
          <w:numId w:val="1008"/>
        </w:numPr>
      </w:pPr>
      <w:r>
        <w:rPr>
          <w:b/>
          <w:bCs/>
        </w:rPr>
        <w:t xml:space="preserve">Reconhecimento de Textura</w:t>
      </w:r>
      <w:r>
        <w:t xml:space="preserve">: VGG-16 e iBOT alcançam acurácia de textura de pico idêntica (97,9%), embora em diferentes profundidades (Camada 3 vs. Bloco 11). O VMamba mostra desempenho de textura inferior (92,5%) no Estágio 2.</w:t>
      </w:r>
    </w:p>
    <w:p>
      <w:pPr>
        <w:numPr>
          <w:ilvl w:val="0"/>
          <w:numId w:val="1008"/>
        </w:numPr>
      </w:pPr>
      <w:r>
        <w:rPr>
          <w:b/>
          <w:bCs/>
        </w:rPr>
        <w:t xml:space="preserve">Padrões Hierárquicos</w:t>
      </w:r>
      <w:r>
        <w:t xml:space="preserve">: Todas as três arquiteturas demonstram padrões consistentes—camadas iniciais capturam cor enquanto camadas mais profundas capturam textura—independentemente do paradigma arquitetural (CNN, Transformer ou SSM).</w:t>
      </w:r>
    </w:p>
    <w:p>
      <w:pPr>
        <w:numPr>
          <w:ilvl w:val="0"/>
          <w:numId w:val="1008"/>
        </w:numPr>
      </w:pPr>
      <w:r>
        <w:rPr>
          <w:b/>
          <w:bCs/>
        </w:rPr>
        <w:t xml:space="preserve">Dimensionalidade de Características</w:t>
      </w:r>
      <w:r>
        <w:t xml:space="preserve">: A VGG-16 alcança alto desempenho com características de dimensionalidade relativamente baixa (64D para cor, 256D para textura), enquanto o iBOT usa características uniformes de 384D. As dimensões progressivas do VMamba (96-768) não correlacionam com desempenho melhorado.</w:t>
      </w:r>
    </w:p>
    <w:p>
      <w:r>
        <w:pict>
          <v:rect style="width:0;height:1.5pt" o:hralign="center" o:hrstd="t" o:hr="t"/>
        </w:pict>
      </w:r>
    </w:p>
    <w:bookmarkEnd w:id="25"/>
    <w:bookmarkEnd w:id="26"/>
    <w:bookmarkStart w:id="27" w:name="vi.-discussão"/>
    <w:p>
      <w:pPr>
        <w:pStyle w:val="Heading2"/>
      </w:pPr>
      <w:r>
        <w:t xml:space="preserve">VI. Discussão</w:t>
      </w:r>
    </w:p>
    <w:p>
      <w:pPr>
        <w:pStyle w:val="FirstParagraph"/>
      </w:pPr>
      <w:r>
        <w:t xml:space="preserve">Os resultados experimentais revelam insights importantes sobre a organização hierárquica de características em diferentes arquiteturas de redes neurais.</w:t>
      </w:r>
    </w:p>
    <w:p>
      <w:pPr>
        <w:pStyle w:val="BodyText"/>
      </w:pPr>
      <w:r>
        <w:rPr>
          <w:b/>
          <w:bCs/>
        </w:rPr>
        <w:t xml:space="preserve">Independência do Paradigma Arquitetural:</w:t>
      </w:r>
      <w:r>
        <w:t xml:space="preserve"> </w:t>
      </w:r>
      <w:r>
        <w:t xml:space="preserve">Apesar das diferenças fundamentais em seus mecanismos computacionais—convoluções na VGG-16, auto-atenção no iBOT e modelagem de espaço de estados no VMamba—todas as três arquiteturas exibem especialização hierárquica de características similar. Isso sugere que a organização de características visuais de baixo nível (cor) para alto nível (textura/semântica) pode ser uma propriedade universal aprendida a partir de dados visuais, independente da abordagem computacional específica.</w:t>
      </w:r>
    </w:p>
    <w:p>
      <w:pPr>
        <w:pStyle w:val="BodyText"/>
      </w:pPr>
      <w:r>
        <w:rPr>
          <w:b/>
          <w:bCs/>
        </w:rPr>
        <w:t xml:space="preserve">Pré-treinamento Auto-supervisionado vs. Supervisionado:</w:t>
      </w:r>
      <w:r>
        <w:t xml:space="preserve"> </w:t>
      </w:r>
      <w:r>
        <w:t xml:space="preserve">O iBOT, pré-treinado com modelagem de imagem mascarada auto-supervisionada, alcança desempenho competitivo com modelos supervisionados. Seu reconhecimento de textura (97,9%) iguala a VGG-16 enquanto mantém forte reconhecimento de cor (96,2%). Isso demonstra que o pré-treinamento auto-supervisionado pode aprender representações hierárquicas igualmente eficazes.</w:t>
      </w:r>
    </w:p>
    <w:p>
      <w:pPr>
        <w:pStyle w:val="BodyText"/>
      </w:pPr>
      <w:r>
        <w:rPr>
          <w:b/>
          <w:bCs/>
        </w:rPr>
        <w:t xml:space="preserve">Considerações de Eficiência:</w:t>
      </w:r>
      <w:r>
        <w:t xml:space="preserve"> </w:t>
      </w:r>
      <w:r>
        <w:t xml:space="preserve">A VGG-16 alcança o melhor reconhecimento de cor (97,5%) com apenas características de 64 dimensões da Camada 1. Isso sugere que para aplicações focadas em recuperação baseada em cor, representações extremamente eficientes são possíveis usando camadas rasas de arquiteturas simples.</w:t>
      </w:r>
    </w:p>
    <w:p>
      <w:pPr>
        <w:pStyle w:val="BodyText"/>
      </w:pPr>
      <w:r>
        <w:rPr>
          <w:b/>
          <w:bCs/>
        </w:rPr>
        <w:t xml:space="preserve">Implicações Práticas:</w:t>
      </w:r>
      <w:r>
        <w:t xml:space="preserve"> </w:t>
      </w:r>
      <w:r>
        <w:t xml:space="preserve">Para sistemas de recuperação de imagem direcionados a atributos visuais específicos:</w:t>
      </w:r>
      <w:r>
        <w:t xml:space="preserve"> </w:t>
      </w:r>
      <w:r>
        <w:t xml:space="preserve">-</w:t>
      </w:r>
      <w:r>
        <w:t xml:space="preserve"> </w:t>
      </w:r>
      <w:r>
        <w:rPr>
          <w:b/>
          <w:bCs/>
        </w:rPr>
        <w:t xml:space="preserve">Busca por cor</w:t>
      </w:r>
      <w:r>
        <w:t xml:space="preserve">: Usar camadas iniciais (VGG-16 Camada 1, iBOT blocos 2-3, VMamba Estágio 1)</w:t>
      </w:r>
      <w:r>
        <w:t xml:space="preserve"> </w:t>
      </w:r>
      <w:r>
        <w:t xml:space="preserve">-</w:t>
      </w:r>
      <w:r>
        <w:t xml:space="preserve"> </w:t>
      </w:r>
      <w:r>
        <w:rPr>
          <w:b/>
          <w:bCs/>
        </w:rPr>
        <w:t xml:space="preserve">Busca por textura</w:t>
      </w:r>
      <w:r>
        <w:t xml:space="preserve">: Usar camadas intermediárias a profundas (VGG-16 Camada 3, iBOT blocos 8-11, VMamba Estágio 2)</w:t>
      </w:r>
      <w:r>
        <w:t xml:space="preserve"> </w:t>
      </w:r>
      <w:r>
        <w:t xml:space="preserve">-</w:t>
      </w:r>
      <w:r>
        <w:t xml:space="preserve"> </w:t>
      </w:r>
      <w:r>
        <w:rPr>
          <w:b/>
          <w:bCs/>
        </w:rPr>
        <w:t xml:space="preserve">Busca combinada</w:t>
      </w:r>
      <w:r>
        <w:t xml:space="preserve">: Considerar fusão de características de camadas ótimas para cor e textura</w:t>
      </w:r>
    </w:p>
    <w:p>
      <w:r>
        <w:pict>
          <v:rect style="width:0;height:1.5pt" o:hralign="center" o:hrstd="t" o:hr="t"/>
        </w:pict>
      </w:r>
    </w:p>
    <w:bookmarkEnd w:id="27"/>
    <w:bookmarkStart w:id="28" w:name="vii.-conclusões"/>
    <w:p>
      <w:pPr>
        <w:pStyle w:val="Heading2"/>
      </w:pPr>
      <w:r>
        <w:t xml:space="preserve">VII. Conclusões</w:t>
      </w:r>
    </w:p>
    <w:p>
      <w:pPr>
        <w:pStyle w:val="FirstParagraph"/>
      </w:pPr>
      <w:r>
        <w:t xml:space="preserve">Este estudo avaliou a extração hierárquica de características de três arquiteturas de redes neurais pré-treinadas—VGG-16, iBOT e VMamba—para reconhecimento de atributos visuais de cor e textura em imagens de roupas.</w:t>
      </w:r>
    </w:p>
    <w:p>
      <w:pPr>
        <w:pStyle w:val="BodyText"/>
      </w:pPr>
      <w:r>
        <w:t xml:space="preserve">Nossos experimentos demonstram que:</w:t>
      </w:r>
    </w:p>
    <w:p>
      <w:pPr>
        <w:numPr>
          <w:ilvl w:val="0"/>
          <w:numId w:val="1009"/>
        </w:numPr>
      </w:pPr>
      <w:r>
        <w:t xml:space="preserve">Todas as três arquiteturas exibem especialização hierárquica de características, com camadas iniciais ótimas para reconhecimento de cor e camadas mais profundas ótimas para reconhecimento de textura.</w:t>
      </w:r>
    </w:p>
    <w:p>
      <w:pPr>
        <w:numPr>
          <w:ilvl w:val="0"/>
          <w:numId w:val="1009"/>
        </w:numPr>
      </w:pPr>
      <w:r>
        <w:t xml:space="preserve">A VGG-16 alcança o melhor reconhecimento de cor (97,5% na Camada 1) e iguala o iBOT para reconhecimento de textura (97,9% na Camada 3).</w:t>
      </w:r>
    </w:p>
    <w:p>
      <w:pPr>
        <w:numPr>
          <w:ilvl w:val="0"/>
          <w:numId w:val="1009"/>
        </w:numPr>
      </w:pPr>
      <w:r>
        <w:t xml:space="preserve">O pré-treinamento auto-supervisionado do iBOT produz características hierárquicas fortes competitivas com abordagens supervisionadas, se destacando particularmente no reconhecimento de textura em seus blocos mais profundos.</w:t>
      </w:r>
    </w:p>
    <w:p>
      <w:pPr>
        <w:numPr>
          <w:ilvl w:val="0"/>
          <w:numId w:val="1009"/>
        </w:numPr>
      </w:pPr>
      <w:r>
        <w:t xml:space="preserve">O VMamba mostra padrões hierárquicos similares, mas com acurácia geral menor, sugerindo que modelos de espaço de estados podem requerer adaptação adicional para reconhecimento de atributos visuais de granularidade fina.</w:t>
      </w:r>
    </w:p>
    <w:p>
      <w:pPr>
        <w:pStyle w:val="FirstParagraph"/>
      </w:pPr>
      <w:r>
        <w:t xml:space="preserve">Essas descobertas fornecem orientação prática para projetar sistemas de recuperação de imagem específicos por atributo e demonstram que a organização hierárquica de características é uma propriedade consistente em diferentes paradigmas de redes neurais.</w:t>
      </w:r>
    </w:p>
    <w:p>
      <w:pPr>
        <w:pStyle w:val="BodyText"/>
      </w:pPr>
      <w:r>
        <w:rPr>
          <w:b/>
          <w:bCs/>
        </w:rPr>
        <w:t xml:space="preserve">Trabalhos Futuros:</w:t>
      </w:r>
      <w:r>
        <w:t xml:space="preserve"> </w:t>
      </w:r>
      <w:r>
        <w:t xml:space="preserve">Recomendamos investigar: (1) estratégias de fusão combinando características de múltiplas camadas; (2) arquiteturas adicionais como ConvNeXt e Swin Transformer; (3) abordagens de fine-tuning para melhorar representações específicas por atributo; e (4) conjuntos de dados de maior escala para validar generalização.</w:t>
      </w:r>
    </w:p>
    <w:p>
      <w:r>
        <w:pict>
          <v:rect style="width:0;height:1.5pt" o:hralign="center" o:hrstd="t" o:hr="t"/>
        </w:pict>
      </w:r>
    </w:p>
    <w:bookmarkEnd w:id="28"/>
    <w:bookmarkStart w:id="29" w:name="agradecimentos"/>
    <w:p>
      <w:pPr>
        <w:pStyle w:val="Heading2"/>
      </w:pPr>
      <w:r>
        <w:t xml:space="preserve">Agradecimentos</w:t>
      </w:r>
    </w:p>
    <w:p>
      <w:pPr>
        <w:pStyle w:val="FirstParagraph"/>
      </w:pPr>
      <w:r>
        <w:t xml:space="preserve">Este trabalho é apoiado pelo Programa de Pós-Graduação em Informática da Pontifícia Universidade Católica do Paraná e parcialmente apoiado pelo Conselho Nacional de Desenvolvimento Científico e Tecnológico (CNPq) vinculado ao Ministério da Ciência, Tecnologia e Inovação.</w:t>
      </w:r>
    </w:p>
    <w:p>
      <w:r>
        <w:pict>
          <v:rect style="width:0;height:1.5pt" o:hralign="center" o:hrstd="t" o:hr="t"/>
        </w:pict>
      </w:r>
    </w:p>
    <w:bookmarkEnd w:id="29"/>
    <w:bookmarkStart w:id="30" w:name="referências"/>
    <w:p>
      <w:pPr>
        <w:pStyle w:val="Heading2"/>
      </w:pPr>
      <w:r>
        <w:t xml:space="preserve">Referências</w:t>
      </w:r>
    </w:p>
    <w:p>
      <w:pPr>
        <w:pStyle w:val="FirstParagraph"/>
      </w:pPr>
      <w:r>
        <w:t xml:space="preserve">[1] S. R. Dubey,</w:t>
      </w:r>
      <w:r>
        <w:t xml:space="preserve"> </w:t>
      </w:r>
      <w:r>
        <w:t xml:space="preserve">“A decade survey of content based image retrieval using deep learning,”</w:t>
      </w:r>
      <w:r>
        <w:t xml:space="preserve"> </w:t>
      </w:r>
      <w:r>
        <w:t xml:space="preserve">IEEE Transactions on Circuits and Systems for Video Technology, vol. 32, no. 5, pp. 2687-2704, 2021.</w:t>
      </w:r>
    </w:p>
    <w:p>
      <w:pPr>
        <w:pStyle w:val="BodyText"/>
      </w:pPr>
      <w:r>
        <w:t xml:space="preserve">[2] S. M. Youssef,</w:t>
      </w:r>
      <w:r>
        <w:t xml:space="preserve"> </w:t>
      </w:r>
      <w:r>
        <w:t xml:space="preserve">“ICTEDCT-CBIR: Integrating curvelet transform with enhanced dominant colors extraction and texture analysis for efficient content-based image retrieval,”</w:t>
      </w:r>
      <w:r>
        <w:t xml:space="preserve"> </w:t>
      </w:r>
      <w:r>
        <w:t xml:space="preserve">Computers &amp; Electrical Engineering, vol. 38, no. 5, pp. 1358-1376, 2012.</w:t>
      </w:r>
    </w:p>
    <w:p>
      <w:pPr>
        <w:pStyle w:val="BodyText"/>
      </w:pPr>
      <w:r>
        <w:t xml:space="preserve">[3] A. Baloian, N. Murrugarra-Llerena, and J. M. Saavedra,</w:t>
      </w:r>
      <w:r>
        <w:t xml:space="preserve"> </w:t>
      </w:r>
      <w:r>
        <w:t xml:space="preserve">“Scalable visual attribute extraction through hidden layers of a residual convnet,”</w:t>
      </w:r>
      <w:r>
        <w:t xml:space="preserve"> </w:t>
      </w:r>
      <w:r>
        <w:t xml:space="preserve">arXiv preprint arXiv:2104.00161, 2021.</w:t>
      </w:r>
    </w:p>
    <w:p>
      <w:pPr>
        <w:pStyle w:val="BodyText"/>
      </w:pPr>
      <w:r>
        <w:t xml:space="preserve">[4] A. Dosovitskiy et al.,</w:t>
      </w:r>
      <w:r>
        <w:t xml:space="preserve"> </w:t>
      </w:r>
      <w:r>
        <w:t xml:space="preserve">“An image is worth 16x16 words: Transformers for image recognition at scale,”</w:t>
      </w:r>
      <w:r>
        <w:t xml:space="preserve"> </w:t>
      </w:r>
      <w:r>
        <w:t xml:space="preserve">arXiv preprint arXiv:2010.11929, 2020.</w:t>
      </w:r>
    </w:p>
    <w:p>
      <w:pPr>
        <w:pStyle w:val="BodyText"/>
      </w:pPr>
      <w:r>
        <w:t xml:space="preserve">[5] Y. Liu et al.,</w:t>
      </w:r>
      <w:r>
        <w:t xml:space="preserve"> </w:t>
      </w:r>
      <w:r>
        <w:t xml:space="preserve">“VMamba: Visual state space model,”</w:t>
      </w:r>
      <w:r>
        <w:t xml:space="preserve"> </w:t>
      </w:r>
      <w:r>
        <w:t xml:space="preserve">arXiv preprint arXiv:2401.10166, 2024.</w:t>
      </w:r>
    </w:p>
    <w:p>
      <w:pPr>
        <w:pStyle w:val="BodyText"/>
      </w:pPr>
      <w:r>
        <w:t xml:space="preserve">[6] K. Simonyan and A. Zisserman,</w:t>
      </w:r>
      <w:r>
        <w:t xml:space="preserve"> </w:t>
      </w:r>
      <w:r>
        <w:t xml:space="preserve">“Very deep convolutional networks for large-scale image recognition,”</w:t>
      </w:r>
      <w:r>
        <w:t xml:space="preserve"> </w:t>
      </w:r>
      <w:r>
        <w:t xml:space="preserve">arXiv preprint arXiv:1409.1556, 2014.</w:t>
      </w:r>
    </w:p>
    <w:p>
      <w:pPr>
        <w:pStyle w:val="BodyText"/>
      </w:pPr>
      <w:r>
        <w:t xml:space="preserve">[7] J. Zhou et al.,</w:t>
      </w:r>
      <w:r>
        <w:t xml:space="preserve"> </w:t>
      </w:r>
      <w:r>
        <w:t xml:space="preserve">“iBOT: Image BERT pre-training with online tokenizer,”</w:t>
      </w:r>
      <w:r>
        <w:t xml:space="preserve"> </w:t>
      </w:r>
      <w:r>
        <w:t xml:space="preserve">arXiv preprint arXiv:2111.07832, 2021.</w:t>
      </w:r>
    </w:p>
    <w:p>
      <w:pPr>
        <w:pStyle w:val="BodyText"/>
      </w:pPr>
      <w:r>
        <w:t xml:space="preserve">[8] M. Moresco et al.,</w:t>
      </w:r>
      <w:r>
        <w:t xml:space="preserve"> </w:t>
      </w:r>
      <w:r>
        <w:t xml:space="preserve">“Combining multi-layer features for plant species classification in a Siamese network,”</w:t>
      </w:r>
      <w:r>
        <w:t xml:space="preserve"> </w:t>
      </w:r>
      <w:r>
        <w:t xml:space="preserve">in IEEE SMC, 2022, pp. 2446-2451.</w:t>
      </w:r>
    </w:p>
    <w:p>
      <w:pPr>
        <w:pStyle w:val="BodyText"/>
      </w:pPr>
      <w:r>
        <w:t xml:space="preserve">[9] V. M. Araujo et al.,</w:t>
      </w:r>
      <w:r>
        <w:t xml:space="preserve"> </w:t>
      </w:r>
      <w:r>
        <w:t xml:space="preserve">“Two-view fine-grained classification of plant species,”</w:t>
      </w:r>
      <w:r>
        <w:t xml:space="preserve"> </w:t>
      </w:r>
      <w:r>
        <w:t xml:space="preserve">Neurocomputing, vol. 467, pp. 427-441, 2022.</w:t>
      </w:r>
    </w:p>
    <w:p>
      <w:pPr>
        <w:pStyle w:val="BodyText"/>
      </w:pPr>
      <w:r>
        <w:t xml:space="preserve">[10] A. Irtaza et al.,</w:t>
      </w:r>
      <w:r>
        <w:t xml:space="preserve"> </w:t>
      </w:r>
      <w:r>
        <w:t xml:space="preserve">“Embedding neural networks for semantic association in content based image retrieval,”</w:t>
      </w:r>
      <w:r>
        <w:t xml:space="preserve"> </w:t>
      </w:r>
      <w:r>
        <w:t xml:space="preserve">Multimedia Tools and Applications, vol. 72, pp. 1911-1931, 2014.</w:t>
      </w:r>
    </w:p>
    <w:p>
      <w:pPr>
        <w:pStyle w:val="BodyText"/>
      </w:pPr>
      <w:r>
        <w:t xml:space="preserve">[11] H. F. Atlam, G. Attiya, and N. El-Fishawy,</w:t>
      </w:r>
      <w:r>
        <w:t xml:space="preserve"> </w:t>
      </w:r>
      <w:r>
        <w:t xml:space="preserve">“Integration of color and texture features in CBIR system,”</w:t>
      </w:r>
      <w:r>
        <w:t xml:space="preserve"> </w:t>
      </w:r>
      <w:r>
        <w:t xml:space="preserve">Int. J. Comput. Appl., vol. 164, no. 3, pp. 23-29, 2017.</w:t>
      </w:r>
    </w:p>
    <w:p>
      <w:pPr>
        <w:pStyle w:val="BodyText"/>
      </w:pPr>
      <w:r>
        <w:t xml:space="preserve">[12] C. H. Lin, R. T. Chen, and Y. K. Chan,</w:t>
      </w:r>
      <w:r>
        <w:t xml:space="preserve"> </w:t>
      </w:r>
      <w:r>
        <w:t xml:space="preserve">“A smart content-based image retrieval system based on color and texture feature,”</w:t>
      </w:r>
      <w:r>
        <w:t xml:space="preserve"> </w:t>
      </w:r>
      <w:r>
        <w:t xml:space="preserve">Image and Vision Computing, vol. 27, no. 6, pp. 658-665, 2009.</w:t>
      </w:r>
    </w:p>
    <w:p>
      <w:pPr>
        <w:pStyle w:val="BodyText"/>
      </w:pPr>
      <w:r>
        <w:t xml:space="preserve">[13] M. Caron et al.,</w:t>
      </w:r>
      <w:r>
        <w:t xml:space="preserve"> </w:t>
      </w:r>
      <w:r>
        <w:t xml:space="preserve">“Emerging properties in self-supervised vision transformers,”</w:t>
      </w:r>
      <w:r>
        <w:t xml:space="preserve"> </w:t>
      </w:r>
      <w:r>
        <w:t xml:space="preserve">in ICCV, 2021, pp. 9650-9660.</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2026-01-24T03:38:34Z</dcterms:created>
  <dcterms:modified xsi:type="dcterms:W3CDTF">2026-01-24T03:38:34Z</dcterms:modified>
</cp:coreProperties>
</file>

<file path=docProps/custom.xml><?xml version="1.0" encoding="utf-8"?>
<Properties xmlns="http://schemas.openxmlformats.org/officeDocument/2006/custom-properties" xmlns:vt="http://schemas.openxmlformats.org/officeDocument/2006/docPropsVTypes"/>
</file>