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343999" cy="10385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_portra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43999" cy="1038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6" w:h="16838"/>
          <w:pgMar w:top="170" w:right="170" w:bottom="170" w:left="170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1. Executive brief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Operating mandate, commercial intent, and scope boundaries for the canonical production path.</w:t>
            </w:r>
          </w:p>
        </w:tc>
      </w:tr>
    </w:tbl>
    <w:p>
      <w:pPr>
        <w:spacing w:after="40"/>
      </w:pPr>
    </w:p>
    <w:p>
      <w:pPr>
        <w:pStyle w:val="BodyX"/>
        <w:spacing w:after="80" w:before="0" w:line="269" w:lineRule="auto"/>
      </w:pPr>
      <w:r>
        <w:t>LMCP AutoQuote is envisioned as a focused tender operations engine for profitable public supply-and-delivery work in South Africa. The platform should continuously harvest opportunities, apply explicit qualification rules, estimate commercial viability, generate branded quotation packs, and prepare submission-ready email workflows inside one controlled operating model.</w:t>
      </w:r>
    </w:p>
    <w:p>
      <w:pPr>
        <w:pStyle w:val="BodyX"/>
        <w:spacing w:after="80" w:before="0" w:line="269" w:lineRule="auto"/>
      </w:pPr>
      <w:r>
        <w:t>This is not a generic tender scraper. It is a production system for finding the right opportunities, rejecting the wrong ones early, and moving only qualified work into pricing, pack generation, and dispatch with full auditability.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4F7F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6EA8"/>
                <w:sz w:val="18"/>
              </w:rPr>
              <w:t>OPERATING MANDATE</w:t>
            </w:r>
          </w:p>
          <w:p>
            <w:pPr>
              <w:spacing w:line="269" w:lineRule="auto"/>
            </w:pPr>
            <w:r>
              <w:rPr>
                <w:rFonts w:ascii="Calibri" w:hAnsi="Calibri"/>
                <w:color w:val="263238"/>
                <w:sz w:val="20"/>
              </w:rPr>
              <w:t>One canonical workflow should serve manual run-once execution, scheduled autonomous harvesting, and supervised auto-submission. All three operating modes should use the same services, data objects, and decision rules.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31"/>
            <w:shd w:fill="F6F9FC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Business goal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Continuously discover qualifying RFQs and tender notices from approved public-sector procurement sources.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Advance only opportunities that match LMCP target categories and email-submittable operating constraints.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Turn approved opportunities into branded PDF quote packs with traceable submission preparation.</w:t>
            </w:r>
          </w:p>
        </w:tc>
        <w:tc>
          <w:tcPr>
            <w:tcW w:type="dxa" w:w="5131"/>
            <w:shd w:fill="F9FBFD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Success criteria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Clear rule-based qualification with explainable exclusion reasons.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Reliable commercial scoring and quote-readiness promotion.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Controlled pack assembly, attachment manifesting, and email dispatch logging.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2. System at a glance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End-to-end operating chain and scope guardrails.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8000" cy="240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4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31"/>
            <w:shd w:fill="F6F9FC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In scope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Supply and delivery RFQs and tenders across national, provincial, municipal, SOE, and other approved public-sector sources.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Harvesting, normalization, qualification, relevance and profitability screening, quote drafting, PDF generation, compliance assembly, and submission readiness.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Reusable company branding, compliance document storage, and approved supplier or product pricing logic.</w:t>
            </w:r>
          </w:p>
        </w:tc>
        <w:tc>
          <w:tcPr>
            <w:tcW w:type="dxa" w:w="5131"/>
            <w:shd w:fill="F6F9FC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Out of scope for current production track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Medical consumables, IT equipment, petrol, diesel, and other excluded categories.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Any opportunity with a compulsory briefing session or site visit requirement.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Portal-native workflows that cannot be translated into a controlled email submission path.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3. Target architecture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Single-stack design to prevent duplication, preserve consistency, and support controlled autonomy.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8000" cy="384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18324A"/>
          <w:sz w:val="24"/>
        </w:rPr>
        <w:t>Core layer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644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Layer</w:t>
            </w:r>
          </w:p>
        </w:tc>
        <w:tc>
          <w:tcPr>
            <w:tcW w:type="dxa" w:w="1928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Purpose</w:t>
            </w:r>
          </w:p>
        </w:tc>
        <w:tc>
          <w:tcPr>
            <w:tcW w:type="dxa" w:w="5726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Primary components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Presentation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Human control and visibility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React dashboard, status widgets, review screens, run controls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API and interfaces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Secure business entry points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FastAPI route families for dashboard, opportunities, quotes, packs, submission, compliance, system health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Orchestration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Cross-module workflow execution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Tender pipeline service, autonomous engine, Celery tasks, scheduling logic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Domain services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Business logic and transformations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Harvester, live RFQ store, relevance engine, profitability rules, quote engine, pack builder, email service, branding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Data and runtime state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Persistence and caching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Postgres models, Redis queues and cache, tightly controlled temporary runtime JSON</w:t>
            </w:r>
          </w:p>
        </w:tc>
      </w:tr>
      <w:tr>
        <w:tc>
          <w:tcPr>
            <w:tcW w:type="dxa" w:w="16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External integrations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Connectivity to sources and delivery channels</w:t>
            </w:r>
          </w:p>
        </w:tc>
        <w:tc>
          <w:tcPr>
            <w:tcW w:type="dxa" w:w="572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eTenders adapters, other approved portal adapters, SMTP provider, document generation libraries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4. Commercial decisioning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Qualification, exclusion, and quote-readiness promotion should be rule-based and explainable.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8000" cy="3588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log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58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18324A"/>
          <w:sz w:val="24"/>
        </w:rPr>
        <w:t>Decision framework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871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Control area</w:t>
            </w:r>
          </w:p>
        </w:tc>
        <w:tc>
          <w:tcPr>
            <w:tcW w:type="dxa" w:w="3628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Rule intent</w:t>
            </w:r>
          </w:p>
        </w:tc>
        <w:tc>
          <w:tcPr>
            <w:tcW w:type="dxa" w:w="4025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Operational consequence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Hard exclusions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Reject services-heavy work, excluded categories, briefing-session tenders, and non-email-compatible routes.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Stops wasted effort before scoring and stores the exact exclusion reason.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Positive signals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Prefer goods-based procurement, repeatable delivery scope, supplier-aligned categories, and submission routes that can be handled reliably.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Raises relevance and reduces manual interpretation burden.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Commercial threshold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Advance only when estimated profit and margin assumptions meet LMCP commercial rules.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Promotes work into quote-ready state and avoids low-value churn.</w:t>
            </w:r>
          </w:p>
        </w:tc>
      </w:tr>
      <w:tr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Explainability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Every decision outcome must be traceable in both machine-readable and human-readable form.</w:t>
            </w:r>
          </w:p>
        </w:tc>
        <w:tc>
          <w:tcPr>
            <w:tcW w:type="dxa" w:w="402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Supports dashboard review, audits, debugging, and operating trust.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5. Quote generation and submission pack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The quote factory must be data-driven, brand-safe, and compliance-aware.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8000" cy="3262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ote_fa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2622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31"/>
            <w:shd w:fill="F7FAFD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Quote PDF standard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LMCP-branded header and identity pulled from a central branding module.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Opportunity reference, issuing entity, RFQ number, and closing information.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Structured line items, unit pricing, delivery assumptions, VAT, totals, and validity period.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Authorised signature block and approved narrative language.</w:t>
            </w:r>
          </w:p>
        </w:tc>
        <w:tc>
          <w:tcPr>
            <w:tcW w:type="dxa" w:w="5131"/>
            <w:shd w:fill="F7FBF8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Submission pack standard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Primary quotation PDF plus the commercial offer.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Required compliance attachments and completed standard forms where applicable.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Exact attachment manifest with final filenames, checksum, and storage path.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Email draft or sent record linked to the same bundle metadata.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6. Core data objects and audit trail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Objects should progress through a controlled lifecycle with persistent references to files and outcomes.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8000" cy="3058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05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hAnsi="Calibri"/>
          <w:b/>
          <w:color w:val="18324A"/>
          <w:sz w:val="24"/>
        </w:rPr>
        <w:t>Canonical data objects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1474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Object</w:t>
            </w:r>
          </w:p>
        </w:tc>
        <w:tc>
          <w:tcPr>
            <w:tcW w:type="dxa" w:w="1814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Purpose</w:t>
            </w:r>
          </w:p>
        </w:tc>
        <w:tc>
          <w:tcPr>
            <w:tcW w:type="dxa" w:w="2835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Key fields</w:t>
            </w:r>
          </w:p>
        </w:tc>
        <w:tc>
          <w:tcPr>
            <w:tcW w:type="dxa" w:w="3402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Lifecycle notes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HarvestedRFQ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Normalized notice record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external_id, source, title, issuing_entity, province, dates, submission_method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Created by the harvester; raw source reference retained.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QualifiedOpportunity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RFQ after rule-based qualification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qualification_status, exclusion_reason, commodity_tags, email_submission_ok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Transitions from harvested state after rule evaluation.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ScoredOpportunity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Commercially evaluated opportunity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relevance_score, profit_estimate, margin_assumption, quote_ready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Drives queue promotion into the quote stage.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QuoteDraft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Structured quotation dataset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items, quantities, unit prices, totals, VAT, delivery assumptions, validity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Can be regenerated after pricing changes.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SubmissionPack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Final sendable bundle metadata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quote_pdf_path, compliance_files, sbd_forms, checksum, status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Must track the exact files sent.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SubmissionEmail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Email dispatch record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recipient, cc, subject, attachment_paths, sent_at, result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Should support both draft and sent states.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AuditEvent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Trace log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event_type, entity_type, entity_id, timestamp, actor, metadata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Generated at each significant stage.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7. Canonical modules and route families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Responsibilities should stay singular and interfaces should stay predictable.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color w:val="18324A"/>
          <w:sz w:val="24"/>
        </w:rPr>
        <w:t>Module responsibility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tblHeader w:val="true"/>
        </w:trPr>
        <w:tc>
          <w:tcPr>
            <w:tcW w:type="dxa" w:w="2948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Module or area</w:t>
            </w:r>
          </w:p>
        </w:tc>
        <w:tc>
          <w:tcPr>
            <w:tcW w:type="dxa" w:w="6860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Canonical responsibility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app/main.py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Single application entry point with approved routers and startup hooks.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app/tasks.py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Celery task registration and task-level orchestration entry points.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app/services/tender_pipeline.py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Canonical orchestrator from harvested items to qualified, quote-ready output.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app/services/tender_harvester.py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Harvests and normalizes notices from source adapters.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app/services/live_rfq_store.py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Temporary live RFQ runtime store and filtered retrieval helpers.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app/autonomous_engine.py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Scheduling control and supervised autonomous pipeline execution.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app/quote_pack_service.py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Document assembly, pack generation, and final output handling.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app/email service or email_api.py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Submission drafting, sending, and message logging.</w:t>
            </w:r>
          </w:p>
        </w:tc>
      </w:tr>
      <w:t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app/branding/company_branding.py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Central identity and template configuration used by all outgoing documents.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Calibri" w:hAnsi="Calibri"/>
          <w:b/>
          <w:color w:val="18324A"/>
          <w:sz w:val="24"/>
        </w:rPr>
        <w:t>API route blueprint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1701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Route family</w:t>
            </w:r>
          </w:p>
        </w:tc>
        <w:tc>
          <w:tcPr>
            <w:tcW w:type="dxa" w:w="3969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Purpose</w:t>
            </w:r>
          </w:p>
        </w:tc>
        <w:tc>
          <w:tcPr>
            <w:tcW w:type="dxa" w:w="4139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7"/>
              </w:rPr>
              <w:t>Control note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dashboard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Summary, health, counts, latest events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Read-only operational visibility.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autonomous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Status, run-once, schedule control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Must call the canonical pipeline service.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opportunities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Harvest results, review, promotion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Supports browsing and triage without bypassing rules.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quotes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Quote draft generation and retrieval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Should not skip qualification data.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quote pack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Build and retrieve PDF packs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Uses real quote data, branding, and manifests.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submission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Draft or send emails; track results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Must create audit events and retain file references.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compliance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Manage compliance documents and requirement mapping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Central source for attachment assembly.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system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Readiness and diagnostics</w:t>
            </w:r>
          </w:p>
        </w:tc>
        <w:tc>
          <w:tcPr>
            <w:tcW w:type="dxa" w:w="41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Used for environment and service checks.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8. Governance, security, and control tower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Production-safe autonomy depends on explicit safeguards, auditability, and human review points.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31"/>
            <w:shd w:fill="F9FBFD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Security and governance controls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Protect email credentials, database secrets, and external keys with environment-bound secret handling.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Validate outbound recipient addresses against approved instructions before sending.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Preserve source provenance and file lineage so every attachment in a pack can be traced to a stored reference.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Never allow silent replacement of quote tools, recipients, or attachments without an audit event.</w:t>
            </w:r>
          </w:p>
        </w:tc>
        <w:tc>
          <w:tcPr>
            <w:tcW w:type="dxa" w:w="5131"/>
            <w:shd w:fill="F9FBFD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Control tower requirements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System health tiles for API, database, Redis, worker, and scheduler readiness.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Batch counters for harvested, excluded, qualified, quote-ready, quoted, packed, emailed, and failed states.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Latest error stream with drill-down to entity and stage.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Review queue for high-risk steps, retries, and approval gates before auto-submission.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4F7F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6EA8"/>
                <w:sz w:val="18"/>
              </w:rPr>
              <w:t>DESIGN PRINCIPLES</w:t>
            </w:r>
          </w:p>
          <w:p>
            <w:pPr>
              <w:spacing w:line="269" w:lineRule="auto"/>
            </w:pPr>
            <w:r>
              <w:rPr>
                <w:rFonts w:ascii="Calibri" w:hAnsi="Calibri"/>
                <w:color w:val="263238"/>
                <w:sz w:val="20"/>
              </w:rPr>
              <w:t>Single source of truth. No duplicate systems. Deterministic pipeline behavior. Traceability first. Production-safe autonomy. Brand and compliance integrity.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9. Recommended build sequence and acceptance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Finish the canonical chain first, then add scale and autonomy on top of a stable operating path.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8000" cy="26214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621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131"/>
            <w:shd w:fill="F7FAFD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Non-negotiable acceptance criteria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A single manual trigger can execute the pipeline from harvest to quote-ready without code edits.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Qualified opportunities are explainable and visibly filtered against LMCP rules.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Generated quotation PDFs contain real data and correct totals.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Submission emails can be drafted or sent with the exact quote PDF and required compliance files attached.</w:t>
            </w:r>
          </w:p>
        </w:tc>
        <w:tc>
          <w:tcPr>
            <w:tcW w:type="dxa" w:w="5131"/>
            <w:shd w:fill="F7FBF8" w:val="clear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8324A"/>
                <w:sz w:val="25"/>
              </w:rPr>
              <w:t>Future expansion path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Broaden source coverage to additional SOEs, departments, and municipalities once the core pipeline is reliable.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Add richer supplier catalogs and partial pricing intelligence.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Introduce approval workflows for higher-risk submissions.</w:t>
            </w:r>
          </w:p>
          <w:p>
            <w:pPr>
              <w:spacing w:after="40"/>
              <w:ind w:left="198" w:hanging="102"/>
            </w:pPr>
            <w:r>
              <w:rPr>
                <w:rFonts w:ascii="Calibri" w:hAnsi="Calibri"/>
                <w:b/>
                <w:color w:val="2D6EA8"/>
                <w:sz w:val="20"/>
              </w:rPr>
              <w:t xml:space="preserve">• </w:t>
            </w:r>
            <w:r>
              <w:rPr>
                <w:rFonts w:ascii="Calibri" w:hAnsi="Calibri"/>
                <w:color w:val="263238"/>
                <w:sz w:val="19"/>
              </w:rPr>
              <w:t>Expand reporting and dashboards once the canonical production path is stable.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18324A" w:val="clear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36"/>
              </w:rPr>
              <w:t>10. Final implementation note</w:t>
            </w:r>
          </w:p>
          <w:p>
            <w:pPr>
              <w:spacing w:before="40"/>
            </w:pPr>
            <w:r>
              <w:rPr>
                <w:rFonts w:ascii="Calibri" w:hAnsi="Calibri"/>
                <w:color w:val="DDEAF5"/>
                <w:sz w:val="21"/>
              </w:rPr>
              <w:t>The blueprint prioritizes disciplined consolidation over parallel experimentation.</w:t>
            </w:r>
          </w:p>
        </w:tc>
      </w:tr>
    </w:tbl>
    <w:p>
      <w:pPr>
        <w:spacing w:after="40"/>
      </w:pPr>
    </w:p>
    <w:p>
      <w:pPr>
        <w:pStyle w:val="BodyX"/>
        <w:spacing w:after="80" w:before="0" w:line="269" w:lineRule="auto"/>
      </w:pPr>
      <w:r>
        <w:t>The fastest path to a reliable LMCP AutoQuote production system is disciplined consolidation: qualification, scoring, quote drafting, branded PDF generation, compliance assembly, and submission logging should all remain inside one canonical flow.</w:t>
      </w:r>
    </w:p>
    <w:p>
      <w:pPr>
        <w:pStyle w:val="BodyX"/>
        <w:spacing w:after="80" w:before="0" w:line="269" w:lineRule="auto"/>
      </w:pPr>
      <w:r>
        <w:t>If a proposed change does not clearly strengthen that chain, reduce risk inside that chain, or improve observability around that chain, it should be deferred until the core path is stable.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62"/>
      </w:tblGrid>
      <w:tr>
        <w:tc>
          <w:tcPr>
            <w:tcW w:type="dxa" w:w="10262"/>
            <w:shd w:fill="F4F7FA" w:val="clear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left w:val="single" w:sz="10" w:color="C6D4E0"/>
              <w:top w:val="single" w:sz="10" w:color="C6D4E0"/>
              <w:right w:val="single" w:sz="10" w:color="C6D4E0"/>
              <w:bottom w:val="single" w:sz="10" w:color="C6D4E0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2D6EA8"/>
                <w:sz w:val="18"/>
              </w:rPr>
              <w:t>EXECUTIVE CONCLUSION</w:t>
            </w:r>
          </w:p>
          <w:p>
            <w:pPr>
              <w:spacing w:line="269" w:lineRule="auto"/>
            </w:pPr>
            <w:r>
              <w:rPr>
                <w:rFonts w:ascii="Calibri" w:hAnsi="Calibri"/>
                <w:color w:val="263238"/>
                <w:sz w:val="20"/>
              </w:rPr>
              <w:t>Build one operating machine: harvest -&gt; qualify -&gt; score -&gt; quote -&gt; brand -&gt; attach -&gt; submit -&gt; audit. Make it visible, explainable, and commercially disciplined before adding scale.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/>
          <w:color w:val="18324A"/>
          <w:sz w:val="24"/>
        </w:rPr>
        <w:t>Immediate next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tblHeader w:val="true"/>
        </w:trPr>
        <w:tc>
          <w:tcPr>
            <w:tcW w:type="dxa" w:w="850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Priority</w:t>
            </w:r>
          </w:p>
        </w:tc>
        <w:tc>
          <w:tcPr>
            <w:tcW w:type="dxa" w:w="4535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Action</w:t>
            </w:r>
          </w:p>
        </w:tc>
        <w:tc>
          <w:tcPr>
            <w:tcW w:type="dxa" w:w="4535"/>
            <w:shd w:fill="DDEAF5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8324A"/>
                <w:sz w:val="18"/>
              </w:rPr>
              <w:t>Outcome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Stabilize harvester inputs and normalized RFQ schema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Consistent source data and reliable manual run path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2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Finalize exclusion rules, scoring, and explainability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Controlled opportunity promotion to quote-ready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3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Complete branded quote pack generation and attachment manifesting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Submission-ready document output with traceable files</w:t>
            </w:r>
          </w:p>
        </w:tc>
      </w:tr>
      <w:tr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  <w:jc w:val="left"/>
            </w:pPr>
            <w:r>
              <w:rPr>
                <w:rFonts w:ascii="Calibri" w:hAnsi="Calibri"/>
                <w:color w:val="263238"/>
                <w:sz w:val="17"/>
              </w:rPr>
              <w:t>4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Enable scheduler controls, dashboard review, and supervised auto-submission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52" w:lineRule="auto" w:after="0"/>
            </w:pPr>
            <w:r>
              <w:rPr>
                <w:rFonts w:ascii="Calibri" w:hAnsi="Calibri"/>
                <w:color w:val="263238"/>
                <w:sz w:val="17"/>
              </w:rPr>
              <w:t>Safe operational autonomy with approval points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822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A88"/>
        <w:sz w:val="17"/>
      </w:rPr>
      <w:t>LMCP AutoQuote Executive System Blueprint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X">
    <w:name w:val="BodyX"/>
    <w:basedOn w:val="Normal"/>
    <w:rPr>
      <w:rFonts w:ascii="Calibri" w:hAnsi="Calibri"/>
      <w:color w:val="263238"/>
      <w:sz w:val="21"/>
    </w:rPr>
  </w:style>
  <w:style w:type="paragraph" w:customStyle="1" w:styleId="SmallX">
    <w:name w:val="SmallX"/>
    <w:basedOn w:val="Normal"/>
    <w:rPr>
      <w:rFonts w:ascii="Calibri" w:hAnsi="Calibri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