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40" w:line="276" w:lineRule="auto"/>
        <w:jc w:val="center"/>
      </w:pPr>
      <w:r>
        <w:rPr>
          <w:rFonts w:ascii="Aptos Display" w:hAnsi="Aptos Display"/>
          <w:b/>
          <w:color w:val="112F41"/>
          <w:sz w:val="48"/>
        </w:rPr>
        <w:t>LMCP AUTOQUOTE SYSTEM</w:t>
        <w:br/>
        <w:t>FULL SYSTEM BLUEPRINT</w:t>
      </w:r>
    </w:p>
    <w:p>
      <w:pPr>
        <w:spacing w:before="0" w:after="240" w:line="276" w:lineRule="auto"/>
        <w:jc w:val="center"/>
      </w:pPr>
      <w:r>
        <w:rPr>
          <w:rFonts w:ascii="Aptos" w:hAnsi="Aptos"/>
          <w:color w:val="464D55"/>
          <w:sz w:val="24"/>
        </w:rPr>
        <w:t>Autonomous South African Supply-and-Delivery Tender Intelligence, Quoting and Submission Platform</w:t>
      </w:r>
    </w:p>
    <w:tbl>
      <w:tblPr>
        <w:tblStyle w:val="TableGrid"/>
        <w:tblW w:type="auto" w:w="0"/>
        <w:jc w:val="center"/>
        <w:tblLayout w:type="fixed"/>
        <w:tblLook w:firstColumn="1" w:firstRow="1" w:lastColumn="0" w:lastRow="0" w:noHBand="0" w:noVBand="1" w:val="04A0"/>
      </w:tblPr>
      <w:tblGrid>
        <w:gridCol w:w="4929"/>
        <w:gridCol w:w="4929"/>
      </w:tblGrid>
      <w:tr>
        <w:tc>
          <w:tcPr>
            <w:tcW w:type="dxa" w:w="2835"/>
            <w:vAlign w:val="center"/>
            <w:shd w:fill="EAF1F8"/>
          </w:tcPr>
          <w:p>
            <w:pPr>
              <w:spacing w:before="0" w:after="40" w:line="276" w:lineRule="auto"/>
              <w:jc w:val="left"/>
            </w:pPr>
            <w:r>
              <w:rPr>
                <w:b/>
                <w:sz w:val="20"/>
              </w:rPr>
              <w:t>Prepared For</w:t>
            </w:r>
          </w:p>
        </w:tc>
        <w:tc>
          <w:tcPr>
            <w:tcW w:type="dxa" w:w="5386"/>
            <w:vAlign w:val="center"/>
          </w:tcPr>
          <w:p>
            <w:pPr>
              <w:spacing w:before="0" w:after="40" w:line="276" w:lineRule="auto"/>
            </w:pPr>
            <w:r>
              <w:rPr>
                <w:sz w:val="20"/>
              </w:rPr>
              <w:t>Lechesa Manaba</w:t>
            </w:r>
          </w:p>
        </w:tc>
      </w:tr>
      <w:tr>
        <w:tc>
          <w:tcPr>
            <w:tcW w:type="dxa" w:w="2835"/>
            <w:vAlign w:val="center"/>
            <w:shd w:fill="EAF1F8"/>
          </w:tcPr>
          <w:p>
            <w:pPr>
              <w:spacing w:before="0" w:after="40" w:line="276" w:lineRule="auto"/>
              <w:jc w:val="left"/>
            </w:pPr>
            <w:r>
              <w:rPr>
                <w:b/>
                <w:sz w:val="20"/>
              </w:rPr>
              <w:t>Company</w:t>
            </w:r>
          </w:p>
        </w:tc>
        <w:tc>
          <w:tcPr>
            <w:tcW w:type="dxa" w:w="5386"/>
            <w:vAlign w:val="center"/>
          </w:tcPr>
          <w:p>
            <w:pPr>
              <w:spacing w:before="0" w:after="40" w:line="276" w:lineRule="auto"/>
            </w:pPr>
            <w:r>
              <w:rPr>
                <w:sz w:val="20"/>
              </w:rPr>
              <w:t>Lechesa Manaba Consulting and Projects (Pty) Ltd</w:t>
            </w:r>
          </w:p>
        </w:tc>
      </w:tr>
      <w:tr>
        <w:tc>
          <w:tcPr>
            <w:tcW w:type="dxa" w:w="2835"/>
            <w:vAlign w:val="center"/>
            <w:shd w:fill="EAF1F8"/>
          </w:tcPr>
          <w:p>
            <w:pPr>
              <w:spacing w:before="0" w:after="40" w:line="276" w:lineRule="auto"/>
              <w:jc w:val="left"/>
            </w:pPr>
            <w:r>
              <w:rPr>
                <w:b/>
                <w:sz w:val="20"/>
              </w:rPr>
              <w:t>Date</w:t>
            </w:r>
          </w:p>
        </w:tc>
        <w:tc>
          <w:tcPr>
            <w:tcW w:type="dxa" w:w="5386"/>
            <w:vAlign w:val="center"/>
          </w:tcPr>
          <w:p>
            <w:pPr>
              <w:spacing w:before="0" w:after="40" w:line="276" w:lineRule="auto"/>
            </w:pPr>
            <w:r>
              <w:rPr>
                <w:sz w:val="20"/>
              </w:rPr>
              <w:t>24 March 2026</w:t>
            </w:r>
          </w:p>
        </w:tc>
      </w:tr>
      <w:tr>
        <w:tc>
          <w:tcPr>
            <w:tcW w:type="dxa" w:w="2835"/>
            <w:vAlign w:val="center"/>
            <w:shd w:fill="EAF1F8"/>
          </w:tcPr>
          <w:p>
            <w:pPr>
              <w:spacing w:before="0" w:after="40" w:line="276" w:lineRule="auto"/>
              <w:jc w:val="left"/>
            </w:pPr>
            <w:r>
              <w:rPr>
                <w:b/>
                <w:sz w:val="20"/>
              </w:rPr>
              <w:t>Document Purpose</w:t>
            </w:r>
          </w:p>
        </w:tc>
        <w:tc>
          <w:tcPr>
            <w:tcW w:type="dxa" w:w="5386"/>
            <w:vAlign w:val="center"/>
          </w:tcPr>
          <w:p>
            <w:pPr>
              <w:spacing w:before="0" w:after="40" w:line="276" w:lineRule="auto"/>
            </w:pPr>
            <w:r>
              <w:rPr>
                <w:sz w:val="20"/>
              </w:rPr>
              <w:t>Master operating blueprint for final system build, integration, deployment and controlled scale-up</w:t>
            </w:r>
          </w:p>
        </w:tc>
      </w:tr>
    </w:tbl>
    <w:p/>
    <w:tbl>
      <w:tblPr>
        <w:tblW w:type="auto" w:w="0"/>
        <w:jc w:val="center"/>
        <w:tblLayout w:type="autofit"/>
        <w:tblLook w:firstColumn="1" w:firstRow="1" w:lastColumn="0" w:lastRow="0" w:noHBand="0" w:noVBand="1" w:val="04A0"/>
      </w:tblPr>
      <w:tblGrid>
        <w:gridCol w:w="9859"/>
      </w:tblGrid>
      <w:tr>
        <w:tc>
          <w:tcPr>
            <w:tcW w:type="dxa" w:w="9859"/>
            <w:shd w:fill="F7FAFC"/>
            <w:vAlign w:val="center"/>
          </w:tcPr>
          <w:p>
            <w:pPr>
              <w:spacing w:before="40" w:after="40" w:line="288" w:lineRule="auto"/>
            </w:pPr>
            <w:r>
              <w:rPr>
                <w:sz w:val="20"/>
              </w:rPr>
              <w:t>Design anchor: this blueprint assumes LMCP AutoQuote will focus only on South African supply and delivery tenders, exclude medical consumables, IT equipment, petrol, diesel and briefing-session tenders, and target opportunities with an estimated profit margin of at least R30,000 using a default minimum margin assumption of 25% unless a better pricing basis exists.</w:t>
            </w:r>
          </w:p>
        </w:tc>
      </w:tr>
    </w:tbl>
    <w:p>
      <w:r>
        <w:br w:type="page"/>
      </w:r>
    </w:p>
    <w:p>
      <w:pPr>
        <w:pStyle w:val="Heading1"/>
        <w:spacing w:before="160" w:after="80" w:line="276" w:lineRule="auto"/>
      </w:pPr>
      <w:r>
        <w:t>1. Executive Summary</w:t>
      </w:r>
    </w:p>
    <w:p>
      <w:pPr>
        <w:spacing w:before="0" w:after="100" w:line="276" w:lineRule="auto"/>
      </w:pPr>
      <w:r>
        <w:t>LMCP AutoQuote is envisioned as an end-to-end tender operations engine that continuously harvests opportunities, filters them against LMCP commercial rules, enriches them with actionable metadata, estimates commercial viability, generates quotation packs, and prepares email-ready submissions through a single controlled workflow. The system is not a generic tender scraper; it is a focused operating machine for profitable supply-and-delivery work across all provinces of South Africa.</w:t>
      </w:r>
    </w:p>
    <w:p>
      <w:pPr>
        <w:spacing w:before="0" w:after="100" w:line="276" w:lineRule="auto"/>
      </w:pPr>
      <w:r>
        <w:t>The blueprint below is structured to help finish the system without adding parallel or duplicate subsystems. The intended approach is to extend the existing FastAPI, Celery, Redis, Postgres and React stack already under construction, tighten interfaces between modules, and convert the platform into a reliable mission-control dashboard with a predictable autonomous pipeline.</w:t>
      </w:r>
    </w:p>
    <w:p>
      <w:pPr>
        <w:spacing w:before="0" w:after="100" w:line="276" w:lineRule="auto"/>
      </w:pPr>
      <w:r>
        <w:t>At full maturity, the platform should support three operating modes: manual run-once execution for controlled testing, scheduled autonomous harvesting and processing, and supervised auto-submission for qualified opportunities. All three modes must use the same core services and data structures to avoid fragmentation.</w:t>
      </w:r>
    </w:p>
    <w:p>
      <w:pPr>
        <w:pStyle w:val="Heading1"/>
        <w:spacing w:before="160" w:after="80" w:line="276" w:lineRule="auto"/>
      </w:pPr>
      <w:r>
        <w:t>2. Business Goal and Success Criteria</w:t>
      </w:r>
    </w:p>
    <w:p>
      <w:pPr>
        <w:pStyle w:val="ListBullet"/>
        <w:spacing w:before="0" w:after="20" w:line="269" w:lineRule="auto"/>
        <w:ind w:left="227"/>
      </w:pPr>
      <w:r>
        <w:t>Continuously discover qualifying RFQs and tender notices from approved South African public procurement sources.</w:t>
      </w:r>
    </w:p>
    <w:p>
      <w:pPr>
        <w:pStyle w:val="ListBullet"/>
        <w:spacing w:before="0" w:after="20" w:line="269" w:lineRule="auto"/>
        <w:ind w:left="227"/>
      </w:pPr>
      <w:r>
        <w:t>Filter out non-target opportunities automatically, especially services-heavy work, excluded product categories and any tender requiring a briefing session.</w:t>
      </w:r>
    </w:p>
    <w:p>
      <w:pPr>
        <w:pStyle w:val="ListBullet"/>
        <w:spacing w:before="0" w:after="20" w:line="269" w:lineRule="auto"/>
        <w:ind w:left="227"/>
      </w:pPr>
      <w:r>
        <w:t>Estimate profitability and only advance opportunities likely to meet LMCP commercial thresholds.</w:t>
      </w:r>
    </w:p>
    <w:p>
      <w:pPr>
        <w:pStyle w:val="ListBullet"/>
        <w:spacing w:before="0" w:after="20" w:line="269" w:lineRule="auto"/>
        <w:ind w:left="227"/>
      </w:pPr>
      <w:r>
        <w:t>Produce professional branded PDF quotation packs using real line-item and company data.</w:t>
      </w:r>
    </w:p>
    <w:p>
      <w:pPr>
        <w:pStyle w:val="ListBullet"/>
        <w:spacing w:before="0" w:after="20" w:line="269" w:lineRule="auto"/>
        <w:ind w:left="227"/>
      </w:pPr>
      <w:r>
        <w:t>Prepare complete, compliant, email-ready submission packs with traceable audit history.</w:t>
      </w:r>
    </w:p>
    <w:p>
      <w:pPr>
        <w:pStyle w:val="ListBullet"/>
        <w:spacing w:before="0" w:after="20" w:line="269" w:lineRule="auto"/>
        <w:ind w:left="227"/>
      </w:pPr>
      <w:r>
        <w:t>Give LMCP a single dashboard to view harvesting status, scoring, quote readiness, pack generation and email submission outcomes.</w:t>
      </w:r>
    </w:p>
    <w:p>
      <w:pPr>
        <w:pStyle w:val="Heading1"/>
        <w:spacing w:before="160" w:after="80" w:line="276" w:lineRule="auto"/>
      </w:pPr>
      <w:r>
        <w:t>3. Scope Boundaries</w:t>
      </w:r>
    </w:p>
    <w:p>
      <w:pPr>
        <w:pStyle w:val="Heading2"/>
        <w:spacing w:before="120" w:after="80" w:line="276" w:lineRule="auto"/>
      </w:pPr>
      <w:r>
        <w:t>3.1 In Scope</w:t>
      </w:r>
    </w:p>
    <w:p>
      <w:pPr>
        <w:pStyle w:val="ListBullet"/>
        <w:spacing w:before="0" w:after="20" w:line="269" w:lineRule="auto"/>
        <w:ind w:left="227"/>
      </w:pPr>
      <w:r>
        <w:t>Supply and delivery tenders and RFQs across national, provincial, municipal, SOE and other approved public-sector portals in South Africa.</w:t>
      </w:r>
    </w:p>
    <w:p>
      <w:pPr>
        <w:pStyle w:val="ListBullet"/>
        <w:spacing w:before="0" w:after="20" w:line="269" w:lineRule="auto"/>
        <w:ind w:left="227"/>
      </w:pPr>
      <w:r>
        <w:t>Email-submittable opportunities only, unless LMCP later explicitly broadens this rule.</w:t>
      </w:r>
    </w:p>
    <w:p>
      <w:pPr>
        <w:pStyle w:val="ListBullet"/>
        <w:spacing w:before="0" w:after="20" w:line="269" w:lineRule="auto"/>
        <w:ind w:left="227"/>
      </w:pPr>
      <w:r>
        <w:t>Harvesting, normalization, enrichment, relevance scoring, profitability screening, quote drafting, PDF pack generation, compliance attachment assembly, email dispatch and audit logging.</w:t>
      </w:r>
    </w:p>
    <w:p>
      <w:pPr>
        <w:pStyle w:val="ListBullet"/>
        <w:spacing w:before="0" w:after="20" w:line="269" w:lineRule="auto"/>
        <w:ind w:left="227"/>
      </w:pPr>
      <w:r>
        <w:t>Company branding, standard forms, compliance document storage and reusable supplier/product pricing logic.</w:t>
      </w:r>
    </w:p>
    <w:p>
      <w:pPr>
        <w:pStyle w:val="Heading2"/>
        <w:spacing w:before="120" w:after="80" w:line="276" w:lineRule="auto"/>
      </w:pPr>
      <w:r>
        <w:t>3.2 Out of Scope for Current Production Track</w:t>
      </w:r>
    </w:p>
    <w:p>
      <w:pPr>
        <w:pStyle w:val="ListBullet"/>
        <w:spacing w:before="0" w:after="20" w:line="269" w:lineRule="auto"/>
        <w:ind w:left="227"/>
      </w:pPr>
      <w:r>
        <w:t>Medical consumables, IT equipment, petrol and diesel opportunities.</w:t>
      </w:r>
    </w:p>
    <w:p>
      <w:pPr>
        <w:pStyle w:val="ListBullet"/>
        <w:spacing w:before="0" w:after="20" w:line="269" w:lineRule="auto"/>
        <w:ind w:left="227"/>
      </w:pPr>
      <w:r>
        <w:t>Any opportunity with a compulsory briefing session.</w:t>
      </w:r>
    </w:p>
    <w:p>
      <w:pPr>
        <w:pStyle w:val="ListBullet"/>
        <w:spacing w:before="0" w:after="20" w:line="269" w:lineRule="auto"/>
        <w:ind w:left="227"/>
      </w:pPr>
      <w:r>
        <w:t>Portal-native online submission workflows that cannot be translated into an email submission path.</w:t>
      </w:r>
    </w:p>
    <w:p>
      <w:pPr>
        <w:pStyle w:val="ListBullet"/>
        <w:spacing w:before="0" w:after="20" w:line="269" w:lineRule="auto"/>
        <w:ind w:left="227"/>
      </w:pPr>
      <w:r>
        <w:t>Multiple competing quote engines or duplicate route families doing the same job.</w:t>
      </w:r>
    </w:p>
    <w:p>
      <w:pPr>
        <w:pStyle w:val="ListBullet"/>
        <w:spacing w:before="0" w:after="20" w:line="269" w:lineRule="auto"/>
        <w:ind w:left="227"/>
      </w:pPr>
      <w:r>
        <w:t>Unsupervised legal commitments beyond controlled business rules and approved pricing logic.</w:t>
      </w:r>
    </w:p>
    <w:p>
      <w:pPr>
        <w:pStyle w:val="Heading1"/>
        <w:spacing w:before="160" w:after="80" w:line="276" w:lineRule="auto"/>
      </w:pPr>
      <w:r>
        <w:t>4. Design Principles</w:t>
      </w:r>
    </w:p>
    <w:p>
      <w:pPr>
        <w:pStyle w:val="ListBullet"/>
        <w:spacing w:before="0" w:after="20" w:line="269" w:lineRule="auto"/>
        <w:ind w:left="227"/>
      </w:pPr>
      <w:r>
        <w:t>Single source of truth: each major function should have one canonical service layer and one canonical route family.</w:t>
      </w:r>
    </w:p>
    <w:p>
      <w:pPr>
        <w:pStyle w:val="ListBullet"/>
        <w:spacing w:before="0" w:after="20" w:line="269" w:lineRule="auto"/>
        <w:ind w:left="227"/>
      </w:pPr>
      <w:r>
        <w:t>No duplicate systems: extend existing modules rather than creating parallel replacements.</w:t>
      </w:r>
    </w:p>
    <w:p>
      <w:pPr>
        <w:pStyle w:val="ListBullet"/>
        <w:spacing w:before="0" w:after="20" w:line="269" w:lineRule="auto"/>
        <w:ind w:left="227"/>
      </w:pPr>
      <w:r>
        <w:t>Deterministic pipeline: the same input should follow the same qualification, scoring and pack-building logic.</w:t>
      </w:r>
    </w:p>
    <w:p>
      <w:pPr>
        <w:pStyle w:val="ListBullet"/>
        <w:spacing w:before="0" w:after="20" w:line="269" w:lineRule="auto"/>
        <w:ind w:left="227"/>
      </w:pPr>
      <w:r>
        <w:t>Traceability first: every harvested item, filter decision, score, quote output and submission event must be auditable.</w:t>
      </w:r>
    </w:p>
    <w:p>
      <w:pPr>
        <w:pStyle w:val="ListBullet"/>
        <w:spacing w:before="0" w:after="20" w:line="269" w:lineRule="auto"/>
        <w:ind w:left="227"/>
      </w:pPr>
      <w:r>
        <w:t>Production-safe autonomy: autonomy is allowed only where validation, fallback and retry logic exist.</w:t>
      </w:r>
    </w:p>
    <w:p>
      <w:pPr>
        <w:pStyle w:val="ListBullet"/>
        <w:spacing w:before="0" w:after="20" w:line="269" w:lineRule="auto"/>
        <w:ind w:left="227"/>
      </w:pPr>
      <w:r>
        <w:t>Brand and compliance integrity: every outgoing quote and pack must reflect LMCP identity and approved documents.</w:t>
      </w:r>
    </w:p>
    <w:p>
      <w:pPr>
        <w:pStyle w:val="Heading1"/>
        <w:spacing w:before="160" w:after="80" w:line="276" w:lineRule="auto"/>
      </w:pPr>
      <w:r>
        <w:t>5. High-Level Operating Model</w:t>
      </w:r>
    </w:p>
    <w:tbl>
      <w:tblPr>
        <w:tblStyle w:val="TableGrid"/>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c>
          <w:tcPr>
            <w:tcW w:type="dxa" w:w="1191"/>
            <w:vAlign w:val="center"/>
            <w:shd w:fill="EAF1F8"/>
          </w:tcPr>
          <w:p>
            <w:pPr>
              <w:spacing w:before="120" w:after="120" w:line="276" w:lineRule="auto"/>
              <w:jc w:val="center"/>
            </w:pPr>
            <w:r>
              <w:rPr>
                <w:b/>
                <w:sz w:val="20"/>
              </w:rPr>
              <w:t>Harvester</w:t>
            </w:r>
          </w:p>
        </w:tc>
        <w:tc>
          <w:tcPr>
            <w:tcW w:type="dxa" w:w="567"/>
            <w:vAlign w:val="center"/>
            <w:shd w:fill="FFFFFF"/>
          </w:tcPr>
          <w:p>
            <w:pPr>
              <w:spacing w:before="120" w:after="120" w:line="276" w:lineRule="auto"/>
              <w:jc w:val="center"/>
            </w:pPr>
            <w:r>
              <w:rPr>
                <w:b w:val="0"/>
                <w:sz w:val="20"/>
              </w:rPr>
              <w:t>&gt;</w:t>
            </w:r>
          </w:p>
        </w:tc>
        <w:tc>
          <w:tcPr>
            <w:tcW w:type="dxa" w:w="1361"/>
            <w:vAlign w:val="center"/>
            <w:shd w:fill="EAF1F8"/>
          </w:tcPr>
          <w:p>
            <w:pPr>
              <w:spacing w:before="120" w:after="120" w:line="276" w:lineRule="auto"/>
              <w:jc w:val="center"/>
            </w:pPr>
            <w:r>
              <w:rPr>
                <w:b/>
                <w:sz w:val="20"/>
              </w:rPr>
              <w:t>Qualification + Scoring</w:t>
            </w:r>
          </w:p>
        </w:tc>
        <w:tc>
          <w:tcPr>
            <w:tcW w:type="dxa" w:w="567"/>
            <w:vAlign w:val="center"/>
            <w:shd w:fill="FFFFFF"/>
          </w:tcPr>
          <w:p>
            <w:pPr>
              <w:spacing w:before="120" w:after="120" w:line="276" w:lineRule="auto"/>
              <w:jc w:val="center"/>
            </w:pPr>
            <w:r>
              <w:rPr>
                <w:b w:val="0"/>
                <w:sz w:val="20"/>
              </w:rPr>
              <w:t>&gt;</w:t>
            </w:r>
          </w:p>
        </w:tc>
        <w:tc>
          <w:tcPr>
            <w:tcW w:type="dxa" w:w="1361"/>
            <w:vAlign w:val="center"/>
            <w:shd w:fill="EAF1F8"/>
          </w:tcPr>
          <w:p>
            <w:pPr>
              <w:spacing w:before="120" w:after="120" w:line="276" w:lineRule="auto"/>
              <w:jc w:val="center"/>
            </w:pPr>
            <w:r>
              <w:rPr>
                <w:b/>
                <w:sz w:val="20"/>
              </w:rPr>
              <w:t>Quote Engine + Pack Builder</w:t>
            </w:r>
          </w:p>
        </w:tc>
        <w:tc>
          <w:tcPr>
            <w:tcW w:type="dxa" w:w="567"/>
            <w:vAlign w:val="center"/>
            <w:shd w:fill="FFFFFF"/>
          </w:tcPr>
          <w:p>
            <w:pPr>
              <w:spacing w:before="120" w:after="120" w:line="276" w:lineRule="auto"/>
              <w:jc w:val="center"/>
            </w:pPr>
            <w:r>
              <w:rPr>
                <w:b w:val="0"/>
                <w:sz w:val="20"/>
              </w:rPr>
              <w:t>&gt;</w:t>
            </w:r>
          </w:p>
        </w:tc>
        <w:tc>
          <w:tcPr>
            <w:tcW w:type="dxa" w:w="1474"/>
            <w:vAlign w:val="center"/>
            <w:shd w:fill="EAF1F8"/>
          </w:tcPr>
          <w:p>
            <w:pPr>
              <w:spacing w:before="120" w:after="120" w:line="276" w:lineRule="auto"/>
              <w:jc w:val="center"/>
            </w:pPr>
            <w:r>
              <w:rPr>
                <w:b/>
                <w:sz w:val="20"/>
              </w:rPr>
              <w:t>Email Submission + Audit</w:t>
            </w:r>
          </w:p>
        </w:tc>
      </w:tr>
    </w:tbl>
    <w:p>
      <w:pPr>
        <w:spacing w:before="0" w:after="100" w:line="276" w:lineRule="auto"/>
      </w:pPr>
      <w:r>
        <w:t>The platform should expose this chain through one orchestrated pipeline service. Manual endpoints, scheduled Celery tasks and dashboard actions should all call the same orchestration layer so that system behavior stays consistent.</w:t>
      </w:r>
    </w:p>
    <w:p>
      <w:pPr>
        <w:pStyle w:val="Heading1"/>
        <w:spacing w:before="160" w:after="80" w:line="276" w:lineRule="auto"/>
      </w:pPr>
      <w:r>
        <w:t>6. Target System Architecture</w:t>
      </w:r>
    </w:p>
    <w:p>
      <w:pPr>
        <w:pStyle w:val="Heading2"/>
        <w:spacing w:before="120" w:after="80" w:line="276" w:lineRule="auto"/>
      </w:pPr>
      <w:r>
        <w:t>6.1 Core Layers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pPr>
              <w:jc w:val="center"/>
            </w:pPr>
            <w:r>
              <w:rPr>
                <w:b/>
              </w:rPr>
              <w:t>Layer</w:t>
            </w:r>
          </w:p>
        </w:tc>
        <w:tc>
          <w:tcPr>
            <w:tcW w:type="dxa" w:w="3286"/>
            <w:shd w:fill="D9EAF7"/>
          </w:tcPr>
          <w:p>
            <w:pPr>
              <w:jc w:val="center"/>
            </w:pPr>
            <w:r>
              <w:rPr>
                <w:b/>
              </w:rPr>
              <w:t>Purpose</w:t>
            </w:r>
          </w:p>
        </w:tc>
        <w:tc>
          <w:tcPr>
            <w:tcW w:type="dxa" w:w="3286"/>
            <w:shd w:fill="D9EAF7"/>
          </w:tcPr>
          <w:p>
            <w:pPr>
              <w:jc w:val="center"/>
            </w:pPr>
            <w:r>
              <w:rPr>
                <w:b/>
              </w:rPr>
              <w:t>Primary Components</w:t>
            </w:r>
          </w:p>
        </w:tc>
      </w:tr>
      <w:tr>
        <w:tc>
          <w:tcPr>
            <w:tcW w:type="dxa" w:w="3286"/>
            <w:vAlign w:val="center"/>
          </w:tcPr>
          <w:p>
            <w:pPr>
              <w:spacing w:before="40" w:after="40" w:line="276" w:lineRule="auto"/>
            </w:pPr>
            <w:r>
              <w:t>Presentation</w:t>
            </w:r>
          </w:p>
        </w:tc>
        <w:tc>
          <w:tcPr>
            <w:tcW w:type="dxa" w:w="3286"/>
            <w:vAlign w:val="center"/>
          </w:tcPr>
          <w:p>
            <w:pPr>
              <w:spacing w:before="40" w:after="40" w:line="276" w:lineRule="auto"/>
            </w:pPr>
            <w:r>
              <w:t>Human control and visibility</w:t>
            </w:r>
          </w:p>
        </w:tc>
        <w:tc>
          <w:tcPr>
            <w:tcW w:type="dxa" w:w="3286"/>
            <w:vAlign w:val="center"/>
          </w:tcPr>
          <w:p>
            <w:pPr>
              <w:spacing w:before="40" w:after="40" w:line="276" w:lineRule="auto"/>
            </w:pPr>
            <w:r>
              <w:t>React dashboard, Swagger docs, status widgets, run controls, review screens</w:t>
            </w:r>
          </w:p>
        </w:tc>
      </w:tr>
      <w:tr>
        <w:tc>
          <w:tcPr>
            <w:tcW w:type="dxa" w:w="3286"/>
            <w:vAlign w:val="center"/>
          </w:tcPr>
          <w:p>
            <w:pPr>
              <w:spacing w:before="40" w:after="40" w:line="276" w:lineRule="auto"/>
            </w:pPr>
            <w:r>
              <w:t>Application/API</w:t>
            </w:r>
          </w:p>
        </w:tc>
        <w:tc>
          <w:tcPr>
            <w:tcW w:type="dxa" w:w="3286"/>
            <w:vAlign w:val="center"/>
          </w:tcPr>
          <w:p>
            <w:pPr>
              <w:spacing w:before="40" w:after="40" w:line="276" w:lineRule="auto"/>
            </w:pPr>
            <w:r>
              <w:t>Secure business interfaces</w:t>
            </w:r>
          </w:p>
        </w:tc>
        <w:tc>
          <w:tcPr>
            <w:tcW w:type="dxa" w:w="3286"/>
            <w:vAlign w:val="center"/>
          </w:tcPr>
          <w:p>
            <w:pPr>
              <w:spacing w:before="40" w:after="40" w:line="276" w:lineRule="auto"/>
            </w:pPr>
            <w:r>
              <w:t>FastAPI routers for dashboard, autonomous control, opportunities, quotes, SBD, compliance, submission and system health</w:t>
            </w:r>
          </w:p>
        </w:tc>
      </w:tr>
      <w:tr>
        <w:tc>
          <w:tcPr>
            <w:tcW w:type="dxa" w:w="3286"/>
            <w:vAlign w:val="center"/>
          </w:tcPr>
          <w:p>
            <w:pPr>
              <w:spacing w:before="40" w:after="40" w:line="276" w:lineRule="auto"/>
            </w:pPr>
            <w:r>
              <w:t>Orchestration</w:t>
            </w:r>
          </w:p>
        </w:tc>
        <w:tc>
          <w:tcPr>
            <w:tcW w:type="dxa" w:w="3286"/>
            <w:vAlign w:val="center"/>
          </w:tcPr>
          <w:p>
            <w:pPr>
              <w:spacing w:before="40" w:after="40" w:line="276" w:lineRule="auto"/>
            </w:pPr>
            <w:r>
              <w:t>Cross-module workflow execution</w:t>
            </w:r>
          </w:p>
        </w:tc>
        <w:tc>
          <w:tcPr>
            <w:tcW w:type="dxa" w:w="3286"/>
            <w:vAlign w:val="center"/>
          </w:tcPr>
          <w:p>
            <w:pPr>
              <w:spacing w:before="40" w:after="40" w:line="276" w:lineRule="auto"/>
            </w:pPr>
            <w:r>
              <w:t>Tender pipeline service, autonomous engine, Celery tasks, scheduling logic</w:t>
            </w:r>
          </w:p>
        </w:tc>
      </w:tr>
      <w:tr>
        <w:tc>
          <w:tcPr>
            <w:tcW w:type="dxa" w:w="3286"/>
            <w:vAlign w:val="center"/>
          </w:tcPr>
          <w:p>
            <w:pPr>
              <w:spacing w:before="40" w:after="40" w:line="276" w:lineRule="auto"/>
            </w:pPr>
            <w:r>
              <w:t>Domain Services</w:t>
            </w:r>
          </w:p>
        </w:tc>
        <w:tc>
          <w:tcPr>
            <w:tcW w:type="dxa" w:w="3286"/>
            <w:vAlign w:val="center"/>
          </w:tcPr>
          <w:p>
            <w:pPr>
              <w:spacing w:before="40" w:after="40" w:line="276" w:lineRule="auto"/>
            </w:pPr>
            <w:r>
              <w:t>Business logic and transformations</w:t>
            </w:r>
          </w:p>
        </w:tc>
        <w:tc>
          <w:tcPr>
            <w:tcW w:type="dxa" w:w="3286"/>
            <w:vAlign w:val="center"/>
          </w:tcPr>
          <w:p>
            <w:pPr>
              <w:spacing w:before="40" w:after="40" w:line="276" w:lineRule="auto"/>
            </w:pPr>
            <w:r>
              <w:t>Harvester service, live RFQ store, relevance engine, profitability rules, quote engine, pack builder, email service, branding service</w:t>
            </w:r>
          </w:p>
        </w:tc>
      </w:tr>
      <w:tr>
        <w:tc>
          <w:tcPr>
            <w:tcW w:type="dxa" w:w="3286"/>
            <w:vAlign w:val="center"/>
          </w:tcPr>
          <w:p>
            <w:pPr>
              <w:spacing w:before="40" w:after="40" w:line="276" w:lineRule="auto"/>
            </w:pPr>
            <w:r>
              <w:t>Data</w:t>
            </w:r>
          </w:p>
        </w:tc>
        <w:tc>
          <w:tcPr>
            <w:tcW w:type="dxa" w:w="3286"/>
            <w:vAlign w:val="center"/>
          </w:tcPr>
          <w:p>
            <w:pPr>
              <w:spacing w:before="40" w:after="40" w:line="276" w:lineRule="auto"/>
            </w:pPr>
            <w:r>
              <w:t>Persistence and caching</w:t>
            </w:r>
          </w:p>
        </w:tc>
        <w:tc>
          <w:tcPr>
            <w:tcW w:type="dxa" w:w="3286"/>
            <w:vAlign w:val="center"/>
          </w:tcPr>
          <w:p>
            <w:pPr>
              <w:spacing w:before="40" w:after="40" w:line="276" w:lineRule="auto"/>
            </w:pPr>
            <w:r>
              <w:t>Postgres models, Redis queues and cache, runtime JSON only where explicitly temporary</w:t>
            </w:r>
          </w:p>
        </w:tc>
      </w:tr>
      <w:tr>
        <w:tc>
          <w:tcPr>
            <w:tcW w:type="dxa" w:w="3286"/>
            <w:vAlign w:val="center"/>
          </w:tcPr>
          <w:p>
            <w:pPr>
              <w:spacing w:before="40" w:after="40" w:line="276" w:lineRule="auto"/>
            </w:pPr>
            <w:r>
              <w:t>Integration</w:t>
            </w:r>
          </w:p>
        </w:tc>
        <w:tc>
          <w:tcPr>
            <w:tcW w:type="dxa" w:w="3286"/>
            <w:vAlign w:val="center"/>
          </w:tcPr>
          <w:p>
            <w:pPr>
              <w:spacing w:before="40" w:after="40" w:line="276" w:lineRule="auto"/>
            </w:pPr>
            <w:r>
              <w:t>External connectivity</w:t>
            </w:r>
          </w:p>
        </w:tc>
        <w:tc>
          <w:tcPr>
            <w:tcW w:type="dxa" w:w="3286"/>
            <w:vAlign w:val="center"/>
          </w:tcPr>
          <w:p>
            <w:pPr>
              <w:spacing w:before="40" w:after="40" w:line="276" w:lineRule="auto"/>
            </w:pPr>
            <w:r>
              <w:t>eTenders OCDS client, TenderBulletins/portal adapters, SMTP/email provider, document generation libraries</w:t>
            </w:r>
          </w:p>
        </w:tc>
      </w:tr>
    </w:tbl>
    <w:p>
      <w:pPr>
        <w:pStyle w:val="Heading2"/>
        <w:spacing w:before="120" w:after="80" w:line="276" w:lineRule="auto"/>
      </w:pPr>
      <w:r>
        <w:t>6.2 Canonical Module Map</w:t>
      </w:r>
    </w:p>
    <w:p>
      <w:pPr>
        <w:spacing w:before="0" w:after="100" w:line="276" w:lineRule="auto"/>
      </w:pPr>
      <w:r>
        <w:t>The build should consolidate around the following module responsibilities. File names may evolve, but responsibilities should remain singular and non-overlapping.</w:t>
      </w:r>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pPr>
              <w:jc w:val="center"/>
            </w:pPr>
            <w:r>
              <w:rPr>
                <w:b/>
              </w:rPr>
              <w:t>Module / Area</w:t>
            </w:r>
          </w:p>
        </w:tc>
        <w:tc>
          <w:tcPr>
            <w:tcW w:type="dxa" w:w="4929"/>
            <w:shd w:fill="D9EAF7"/>
          </w:tcPr>
          <w:p>
            <w:pPr>
              <w:jc w:val="center"/>
            </w:pPr>
            <w:r>
              <w:rPr>
                <w:b/>
              </w:rPr>
              <w:t>Canonical Responsibility</w:t>
            </w:r>
          </w:p>
        </w:tc>
      </w:tr>
      <w:tr>
        <w:tc>
          <w:tcPr>
            <w:tcW w:type="dxa" w:w="4929"/>
            <w:vAlign w:val="center"/>
          </w:tcPr>
          <w:p>
            <w:r>
              <w:t>app/main.py</w:t>
            </w:r>
          </w:p>
        </w:tc>
        <w:tc>
          <w:tcPr>
            <w:tcW w:type="dxa" w:w="4929"/>
            <w:vAlign w:val="center"/>
          </w:tcPr>
          <w:p>
            <w:r>
              <w:t>Single application entry point; includes all approved routers and startup hooks.</w:t>
            </w:r>
          </w:p>
        </w:tc>
      </w:tr>
      <w:tr>
        <w:tc>
          <w:tcPr>
            <w:tcW w:type="dxa" w:w="4929"/>
            <w:vAlign w:val="center"/>
          </w:tcPr>
          <w:p>
            <w:r>
              <w:t>app/tasks.py</w:t>
            </w:r>
          </w:p>
        </w:tc>
        <w:tc>
          <w:tcPr>
            <w:tcW w:type="dxa" w:w="4929"/>
            <w:vAlign w:val="center"/>
          </w:tcPr>
          <w:p>
            <w:r>
              <w:t>Celery task registration and task-level orchestration entry points.</w:t>
            </w:r>
          </w:p>
        </w:tc>
      </w:tr>
      <w:tr>
        <w:tc>
          <w:tcPr>
            <w:tcW w:type="dxa" w:w="4929"/>
            <w:vAlign w:val="center"/>
          </w:tcPr>
          <w:p>
            <w:r>
              <w:t>app/services/tender_pipeline.py</w:t>
            </w:r>
          </w:p>
        </w:tc>
        <w:tc>
          <w:tcPr>
            <w:tcW w:type="dxa" w:w="4929"/>
            <w:vAlign w:val="center"/>
          </w:tcPr>
          <w:p>
            <w:r>
              <w:t>Canonical orchestrator from harvested items to qualified quote-ready output.</w:t>
            </w:r>
          </w:p>
        </w:tc>
      </w:tr>
      <w:tr>
        <w:tc>
          <w:tcPr>
            <w:tcW w:type="dxa" w:w="4929"/>
            <w:vAlign w:val="center"/>
          </w:tcPr>
          <w:p>
            <w:r>
              <w:t>app/harvester.py or app/services/tender_harvester.py</w:t>
            </w:r>
          </w:p>
        </w:tc>
        <w:tc>
          <w:tcPr>
            <w:tcW w:type="dxa" w:w="4929"/>
            <w:vAlign w:val="center"/>
          </w:tcPr>
          <w:p>
            <w:r>
              <w:t>Harvests and normalizes notices from source adapters.</w:t>
            </w:r>
          </w:p>
        </w:tc>
      </w:tr>
      <w:tr>
        <w:tc>
          <w:tcPr>
            <w:tcW w:type="dxa" w:w="4929"/>
            <w:vAlign w:val="center"/>
          </w:tcPr>
          <w:p>
            <w:r>
              <w:t>app/services/live_rfq_store.py</w:t>
            </w:r>
          </w:p>
        </w:tc>
        <w:tc>
          <w:tcPr>
            <w:tcW w:type="dxa" w:w="4929"/>
            <w:vAlign w:val="center"/>
          </w:tcPr>
          <w:p>
            <w:r>
              <w:t>Temporary live RFQ runtime store and filtered retrieval helpers.</w:t>
            </w:r>
          </w:p>
        </w:tc>
      </w:tr>
      <w:tr>
        <w:tc>
          <w:tcPr>
            <w:tcW w:type="dxa" w:w="4929"/>
            <w:vAlign w:val="center"/>
          </w:tcPr>
          <w:p>
            <w:r>
              <w:t>app/autonomous_engine.py</w:t>
            </w:r>
          </w:p>
        </w:tc>
        <w:tc>
          <w:tcPr>
            <w:tcW w:type="dxa" w:w="4929"/>
            <w:vAlign w:val="center"/>
          </w:tcPr>
          <w:p>
            <w:r>
              <w:t>Autonomous scheduling and supervised pipeline control.</w:t>
            </w:r>
          </w:p>
        </w:tc>
      </w:tr>
      <w:tr>
        <w:tc>
          <w:tcPr>
            <w:tcW w:type="dxa" w:w="4929"/>
            <w:vAlign w:val="center"/>
          </w:tcPr>
          <w:p>
            <w:r>
              <w:t>app/opportunities_api.py</w:t>
            </w:r>
          </w:p>
        </w:tc>
        <w:tc>
          <w:tcPr>
            <w:tcW w:type="dxa" w:w="4929"/>
            <w:vAlign w:val="center"/>
          </w:tcPr>
          <w:p>
            <w:r>
              <w:t>Opportunity browsing, harvesting triggers and review endpoints.</w:t>
            </w:r>
          </w:p>
        </w:tc>
      </w:tr>
      <w:tr>
        <w:tc>
          <w:tcPr>
            <w:tcW w:type="dxa" w:w="4929"/>
            <w:vAlign w:val="center"/>
          </w:tcPr>
          <w:p>
            <w:r>
              <w:t>app/quote_pack_service.py / app/submission_pack.py</w:t>
            </w:r>
          </w:p>
        </w:tc>
        <w:tc>
          <w:tcPr>
            <w:tcW w:type="dxa" w:w="4929"/>
            <w:vAlign w:val="center"/>
          </w:tcPr>
          <w:p>
            <w:r>
              <w:t>Document assembly, pack generation and final output handling.</w:t>
            </w:r>
          </w:p>
        </w:tc>
      </w:tr>
      <w:tr>
        <w:tc>
          <w:tcPr>
            <w:tcW w:type="dxa" w:w="4929"/>
            <w:vAlign w:val="center"/>
          </w:tcPr>
          <w:p>
            <w:r>
              <w:t>app/email_api.py or dedicated service</w:t>
            </w:r>
          </w:p>
        </w:tc>
        <w:tc>
          <w:tcPr>
            <w:tcW w:type="dxa" w:w="4929"/>
            <w:vAlign w:val="center"/>
          </w:tcPr>
          <w:p>
            <w:r>
              <w:t>Submission email drafting, sending and message logging.</w:t>
            </w:r>
          </w:p>
        </w:tc>
      </w:tr>
      <w:tr>
        <w:tc>
          <w:tcPr>
            <w:tcW w:type="dxa" w:w="4929"/>
            <w:vAlign w:val="center"/>
          </w:tcPr>
          <w:p>
            <w:r>
              <w:t>app/branding/company_branding.py</w:t>
            </w:r>
          </w:p>
        </w:tc>
        <w:tc>
          <w:tcPr>
            <w:tcW w:type="dxa" w:w="4929"/>
            <w:vAlign w:val="center"/>
          </w:tcPr>
          <w:p>
            <w:r>
              <w:t>Central LMCP branding configuration for PDF/DOCX outputs.</w:t>
            </w:r>
          </w:p>
        </w:tc>
      </w:tr>
      <w:tr>
        <w:tc>
          <w:tcPr>
            <w:tcW w:type="dxa" w:w="4929"/>
            <w:vAlign w:val="center"/>
          </w:tcPr>
          <w:p>
            <w:r>
              <w:t>app/compliance modules</w:t>
            </w:r>
          </w:p>
        </w:tc>
        <w:tc>
          <w:tcPr>
            <w:tcW w:type="dxa" w:w="4929"/>
            <w:vAlign w:val="center"/>
          </w:tcPr>
          <w:p>
            <w:r>
              <w:t>Compliance document metadata, retrieval and attachment assembly.</w:t>
            </w:r>
          </w:p>
        </w:tc>
      </w:tr>
    </w:tbl>
    <w:p>
      <w:pPr>
        <w:pStyle w:val="Heading1"/>
        <w:spacing w:before="160" w:after="80" w:line="276" w:lineRule="auto"/>
      </w:pPr>
      <w:r>
        <w:t>7. Functional Architecture</w:t>
      </w:r>
    </w:p>
    <w:p>
      <w:pPr>
        <w:pStyle w:val="Heading2"/>
        <w:spacing w:before="120" w:after="80" w:line="276" w:lineRule="auto"/>
      </w:pPr>
      <w:r>
        <w:t>7.1 Source Harvesting</w:t>
      </w:r>
    </w:p>
    <w:p>
      <w:pPr>
        <w:spacing w:before="0" w:after="100" w:line="276" w:lineRule="auto"/>
      </w:pPr>
      <w:r>
        <w:t>The harvester layer collects notices from eTenders OCDS and other approved source adapters. Each adapter should output into one normalized RFQ schema regardless of source. Required fields should include tender id, title, source, issuing entity, province, category, published date, closing date, submission method, briefing requirement, commodity clues, document links and raw source payload reference.</w:t>
      </w:r>
    </w:p>
    <w:p>
      <w:pPr>
        <w:pStyle w:val="Heading2"/>
        <w:spacing w:before="120" w:after="80" w:line="276" w:lineRule="auto"/>
      </w:pPr>
      <w:r>
        <w:t>7.2 Qualification and Exclusion</w:t>
      </w:r>
    </w:p>
    <w:p>
      <w:pPr>
        <w:spacing w:before="0" w:after="100" w:line="276" w:lineRule="auto"/>
      </w:pPr>
      <w:r>
        <w:t>Qualification rules should run immediately after normalization. Hard-stop rules must remove excluded categories, compulsory briefing tenders, non-email submission routes, obvious service-dominant opportunities and opportunities with insufficient data. This stage should record exact exclusion reasons to support trust and debugging.</w:t>
      </w:r>
    </w:p>
    <w:p>
      <w:pPr>
        <w:pStyle w:val="Heading2"/>
        <w:spacing w:before="120" w:after="80" w:line="276" w:lineRule="auto"/>
      </w:pPr>
      <w:r>
        <w:t>7.3 Relevance and Profitability Scoring</w:t>
      </w:r>
    </w:p>
    <w:p>
      <w:pPr>
        <w:spacing w:before="0" w:after="100" w:line="276" w:lineRule="auto"/>
      </w:pPr>
      <w:r>
        <w:t>Qualified notices should be scored against LMCP's supply-and-delivery focus, estimated commercial value, category fit, competition practicality, province weighting and margin plausibility. Score output should separate relevance from estimated profitability so the business can see why an opportunity is good or bad.</w:t>
      </w:r>
    </w:p>
    <w:p>
      <w:pPr>
        <w:pStyle w:val="Heading2"/>
        <w:spacing w:before="120" w:after="80" w:line="276" w:lineRule="auto"/>
      </w:pPr>
      <w:r>
        <w:t>7.4 Quote Engine</w:t>
      </w:r>
    </w:p>
    <w:p>
      <w:pPr>
        <w:spacing w:before="0" w:after="100" w:line="276" w:lineRule="auto"/>
      </w:pPr>
      <w:r>
        <w:t>The quote engine converts quote-ready opportunities into structured quote drafts using product mapping, supplier price intelligence, default margin logic, VAT handling, delivery assumptions and validity rules. It must be able to operate with partial data while clearly flagging assumptions.</w:t>
      </w:r>
    </w:p>
    <w:p>
      <w:pPr>
        <w:pStyle w:val="Heading2"/>
        <w:spacing w:before="120" w:after="80" w:line="276" w:lineRule="auto"/>
      </w:pPr>
      <w:r>
        <w:t>7.5 Quote Pack Generation</w:t>
      </w:r>
    </w:p>
    <w:p>
      <w:pPr>
        <w:spacing w:before="0" w:after="100" w:line="276" w:lineRule="auto"/>
      </w:pPr>
      <w:r>
        <w:t>Pack generation should create branded PDF quotation outputs from real quote data, not placeholders. The pack should include quotation cover page, pricing schedule, company details, validity terms, signature block and any opportunity-specific supporting pages. DOCX generation may remain available as an internal authoring format, but PDF is the required outward-facing format.</w:t>
      </w:r>
    </w:p>
    <w:p>
      <w:pPr>
        <w:pStyle w:val="Heading2"/>
        <w:spacing w:before="120" w:after="80" w:line="276" w:lineRule="auto"/>
      </w:pPr>
      <w:r>
        <w:t>7.6 Compliance Attachment Assembly</w:t>
      </w:r>
    </w:p>
    <w:p>
      <w:pPr>
        <w:spacing w:before="0" w:after="100" w:line="276" w:lineRule="auto"/>
      </w:pPr>
      <w:r>
        <w:t>The compliance layer should attach approved company documents such as CIPC registration documents, tax compliance proof, CSD report, B-BBEE certificate, director IDs and completed SBD forms where required. Attachment rules should be configurable per tender type.</w:t>
      </w:r>
    </w:p>
    <w:p>
      <w:pPr>
        <w:pStyle w:val="Heading2"/>
        <w:spacing w:before="120" w:after="80" w:line="276" w:lineRule="auto"/>
      </w:pPr>
      <w:r>
        <w:t>7.7 Submission and Email Dispatch</w:t>
      </w:r>
    </w:p>
    <w:p>
      <w:pPr>
        <w:spacing w:before="0" w:after="100" w:line="276" w:lineRule="auto"/>
      </w:pPr>
      <w:r>
        <w:t>Submission should compose professional tender emails, attach the correct PDFs and compliance files, and send only to validated submission recipients. Message metadata, attachments and results must be recorded for traceability.</w:t>
      </w:r>
    </w:p>
    <w:p>
      <w:pPr>
        <w:pStyle w:val="Heading2"/>
        <w:spacing w:before="120" w:after="80" w:line="276" w:lineRule="auto"/>
      </w:pPr>
      <w:r>
        <w:t>7.8 Dashboard and Human Oversight</w:t>
      </w:r>
    </w:p>
    <w:p>
      <w:pPr>
        <w:spacing w:before="0" w:after="100" w:line="276" w:lineRule="auto"/>
      </w:pPr>
      <w:r>
        <w:t>The dashboard should show pipeline status, recent harvest batches, qualified opportunity counts, quote-ready items, generated packs, submission outcomes, system health and error hotspots. It should also support supervised approvals for high-risk steps.</w:t>
      </w:r>
    </w:p>
    <w:p>
      <w:pPr>
        <w:pStyle w:val="Heading1"/>
        <w:spacing w:before="160" w:after="80" w:line="276" w:lineRule="auto"/>
      </w:pPr>
      <w:r>
        <w:t>8. End-to-End Data Flow</w:t>
      </w:r>
    </w:p>
    <w:p>
      <w:pPr>
        <w:pStyle w:val="ListNumber"/>
        <w:spacing w:before="0" w:after="20" w:line="276" w:lineRule="auto"/>
      </w:pPr>
      <w:r>
        <w:t>Scheduler or manual trigger starts a harvest batch.</w:t>
      </w:r>
    </w:p>
    <w:p>
      <w:pPr>
        <w:pStyle w:val="ListNumber"/>
        <w:spacing w:before="0" w:after="20" w:line="276" w:lineRule="auto"/>
      </w:pPr>
      <w:r>
        <w:t>Source adapters collect raw notices and normalize them into a common RFQ structure.</w:t>
      </w:r>
    </w:p>
    <w:p>
      <w:pPr>
        <w:pStyle w:val="ListNumber"/>
        <w:spacing w:before="0" w:after="20" w:line="276" w:lineRule="auto"/>
      </w:pPr>
      <w:r>
        <w:t>Qualification rules remove disallowed opportunities and annotate exclusion reasons.</w:t>
      </w:r>
    </w:p>
    <w:p>
      <w:pPr>
        <w:pStyle w:val="ListNumber"/>
        <w:spacing w:before="0" w:after="20" w:line="276" w:lineRule="auto"/>
      </w:pPr>
      <w:r>
        <w:t>Remaining notices are scored for relevance and commercial viability.</w:t>
      </w:r>
    </w:p>
    <w:p>
      <w:pPr>
        <w:pStyle w:val="ListNumber"/>
        <w:spacing w:before="0" w:after="20" w:line="276" w:lineRule="auto"/>
      </w:pPr>
      <w:r>
        <w:t>Opportunities above threshold are marked quote_ready and stored.</w:t>
      </w:r>
    </w:p>
    <w:p>
      <w:pPr>
        <w:pStyle w:val="ListNumber"/>
        <w:spacing w:before="0" w:after="20" w:line="276" w:lineRule="auto"/>
      </w:pPr>
      <w:r>
        <w:t>Quote engine builds structured quote draft data using pricing logic.</w:t>
      </w:r>
    </w:p>
    <w:p>
      <w:pPr>
        <w:pStyle w:val="ListNumber"/>
        <w:spacing w:before="0" w:after="20" w:line="276" w:lineRule="auto"/>
      </w:pPr>
      <w:r>
        <w:t>Pack builder generates branded PDF quotation and supporting files.</w:t>
      </w:r>
    </w:p>
    <w:p>
      <w:pPr>
        <w:pStyle w:val="ListNumber"/>
        <w:spacing w:before="0" w:after="20" w:line="276" w:lineRule="auto"/>
      </w:pPr>
      <w:r>
        <w:t>Compliance assembler collects required approved documents.</w:t>
      </w:r>
    </w:p>
    <w:p>
      <w:pPr>
        <w:pStyle w:val="ListNumber"/>
        <w:spacing w:before="0" w:after="20" w:line="276" w:lineRule="auto"/>
      </w:pPr>
      <w:r>
        <w:t>Email submission service drafts or sends the complete package.</w:t>
      </w:r>
    </w:p>
    <w:p>
      <w:pPr>
        <w:pStyle w:val="ListNumber"/>
        <w:spacing w:before="0" w:after="20" w:line="276" w:lineRule="auto"/>
      </w:pPr>
      <w:r>
        <w:t>10. Audit service records the batch, decisions, files, recipients and delivery result.</w:t>
      </w:r>
    </w:p>
    <w:p>
      <w:pPr>
        <w:pStyle w:val="Heading1"/>
        <w:spacing w:before="160" w:after="80" w:line="276" w:lineRule="auto"/>
      </w:pPr>
      <w:r>
        <w:t>9. Canonical Data Objects</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shd w:fill="D9EAF7"/>
          </w:tcPr>
          <w:p>
            <w:pPr>
              <w:jc w:val="center"/>
            </w:pPr>
            <w:r>
              <w:rPr>
                <w:b/>
              </w:rPr>
              <w:t>Object</w:t>
            </w:r>
          </w:p>
        </w:tc>
        <w:tc>
          <w:tcPr>
            <w:tcW w:type="dxa" w:w="2465"/>
            <w:shd w:fill="D9EAF7"/>
          </w:tcPr>
          <w:p>
            <w:pPr>
              <w:jc w:val="center"/>
            </w:pPr>
            <w:r>
              <w:rPr>
                <w:b/>
              </w:rPr>
              <w:t>Purpose</w:t>
            </w:r>
          </w:p>
        </w:tc>
        <w:tc>
          <w:tcPr>
            <w:tcW w:type="dxa" w:w="2465"/>
            <w:shd w:fill="D9EAF7"/>
          </w:tcPr>
          <w:p>
            <w:pPr>
              <w:jc w:val="center"/>
            </w:pPr>
            <w:r>
              <w:rPr>
                <w:b/>
              </w:rPr>
              <w:t>Key Fields</w:t>
            </w:r>
          </w:p>
        </w:tc>
        <w:tc>
          <w:tcPr>
            <w:tcW w:type="dxa" w:w="2465"/>
            <w:shd w:fill="D9EAF7"/>
          </w:tcPr>
          <w:p>
            <w:pPr>
              <w:jc w:val="center"/>
            </w:pPr>
            <w:r>
              <w:rPr>
                <w:b/>
              </w:rPr>
              <w:t>Lifecycle Notes</w:t>
            </w:r>
          </w:p>
        </w:tc>
      </w:tr>
      <w:tr>
        <w:tc>
          <w:tcPr>
            <w:tcW w:type="dxa" w:w="2465"/>
            <w:vAlign w:val="center"/>
          </w:tcPr>
          <w:p>
            <w:r>
              <w:t>HarvestedRFQ</w:t>
            </w:r>
          </w:p>
        </w:tc>
        <w:tc>
          <w:tcPr>
            <w:tcW w:type="dxa" w:w="2465"/>
            <w:vAlign w:val="center"/>
          </w:tcPr>
          <w:p>
            <w:r>
              <w:t>Normalized notice record</w:t>
            </w:r>
          </w:p>
        </w:tc>
        <w:tc>
          <w:tcPr>
            <w:tcW w:type="dxa" w:w="2465"/>
            <w:vAlign w:val="center"/>
          </w:tcPr>
          <w:p>
            <w:r>
              <w:t>external_id, source, title, issuing_entity, province, dates, submission_method, briefing_required, documents</w:t>
            </w:r>
          </w:p>
        </w:tc>
        <w:tc>
          <w:tcPr>
            <w:tcW w:type="dxa" w:w="2465"/>
            <w:vAlign w:val="center"/>
          </w:tcPr>
          <w:p>
            <w:r>
              <w:t>Created by harvester; immutable raw reference retained</w:t>
            </w:r>
          </w:p>
        </w:tc>
      </w:tr>
      <w:tr>
        <w:tc>
          <w:tcPr>
            <w:tcW w:type="dxa" w:w="2465"/>
            <w:vAlign w:val="center"/>
          </w:tcPr>
          <w:p>
            <w:r>
              <w:t>QualifiedOpportunity</w:t>
            </w:r>
          </w:p>
        </w:tc>
        <w:tc>
          <w:tcPr>
            <w:tcW w:type="dxa" w:w="2465"/>
            <w:vAlign w:val="center"/>
          </w:tcPr>
          <w:p>
            <w:r>
              <w:t>RFQ after rule-based qualification</w:t>
            </w:r>
          </w:p>
        </w:tc>
        <w:tc>
          <w:tcPr>
            <w:tcW w:type="dxa" w:w="2465"/>
            <w:vAlign w:val="center"/>
          </w:tcPr>
          <w:p>
            <w:r>
              <w:t>qualification_status, exclusion_reason, commodity_tags, email_submission_ok</w:t>
            </w:r>
          </w:p>
        </w:tc>
        <w:tc>
          <w:tcPr>
            <w:tcW w:type="dxa" w:w="2465"/>
            <w:vAlign w:val="center"/>
          </w:tcPr>
          <w:p>
            <w:r>
              <w:t>Transitions from harvested state after rules</w:t>
            </w:r>
          </w:p>
        </w:tc>
      </w:tr>
      <w:tr>
        <w:tc>
          <w:tcPr>
            <w:tcW w:type="dxa" w:w="2465"/>
            <w:vAlign w:val="center"/>
          </w:tcPr>
          <w:p>
            <w:r>
              <w:t>ScoredOpportunity</w:t>
            </w:r>
          </w:p>
        </w:tc>
        <w:tc>
          <w:tcPr>
            <w:tcW w:type="dxa" w:w="2465"/>
            <w:vAlign w:val="center"/>
          </w:tcPr>
          <w:p>
            <w:r>
              <w:t>Commercially evaluated opportunity</w:t>
            </w:r>
          </w:p>
        </w:tc>
        <w:tc>
          <w:tcPr>
            <w:tcW w:type="dxa" w:w="2465"/>
            <w:vAlign w:val="center"/>
          </w:tcPr>
          <w:p>
            <w:r>
              <w:t>relevance_score, profit_estimate, margin_assumption, quote_ready</w:t>
            </w:r>
          </w:p>
        </w:tc>
        <w:tc>
          <w:tcPr>
            <w:tcW w:type="dxa" w:w="2465"/>
            <w:vAlign w:val="center"/>
          </w:tcPr>
          <w:p>
            <w:r>
              <w:t>Drives queue into quote stage</w:t>
            </w:r>
          </w:p>
        </w:tc>
      </w:tr>
      <w:tr>
        <w:tc>
          <w:tcPr>
            <w:tcW w:type="dxa" w:w="2465"/>
            <w:vAlign w:val="center"/>
          </w:tcPr>
          <w:p>
            <w:r>
              <w:t>QuoteDraft</w:t>
            </w:r>
          </w:p>
        </w:tc>
        <w:tc>
          <w:tcPr>
            <w:tcW w:type="dxa" w:w="2465"/>
            <w:vAlign w:val="center"/>
          </w:tcPr>
          <w:p>
            <w:r>
              <w:t>Structured quotation dataset</w:t>
            </w:r>
          </w:p>
        </w:tc>
        <w:tc>
          <w:tcPr>
            <w:tcW w:type="dxa" w:w="2465"/>
            <w:vAlign w:val="center"/>
          </w:tcPr>
          <w:p>
            <w:r>
              <w:t>items, quantities, unit prices, totals, VAT, delivery assumptions, validity</w:t>
            </w:r>
          </w:p>
        </w:tc>
        <w:tc>
          <w:tcPr>
            <w:tcW w:type="dxa" w:w="2465"/>
            <w:vAlign w:val="center"/>
          </w:tcPr>
          <w:p>
            <w:r>
              <w:t>Can be regenerated after pricing changes</w:t>
            </w:r>
          </w:p>
        </w:tc>
      </w:tr>
      <w:tr>
        <w:tc>
          <w:tcPr>
            <w:tcW w:type="dxa" w:w="2465"/>
            <w:vAlign w:val="center"/>
          </w:tcPr>
          <w:p>
            <w:r>
              <w:t>SubmissionPack</w:t>
            </w:r>
          </w:p>
        </w:tc>
        <w:tc>
          <w:tcPr>
            <w:tcW w:type="dxa" w:w="2465"/>
            <w:vAlign w:val="center"/>
          </w:tcPr>
          <w:p>
            <w:r>
              <w:t>Final sendable bundle metadata</w:t>
            </w:r>
          </w:p>
        </w:tc>
        <w:tc>
          <w:tcPr>
            <w:tcW w:type="dxa" w:w="2465"/>
            <w:vAlign w:val="center"/>
          </w:tcPr>
          <w:p>
            <w:r>
              <w:t>quote_pdf_path, compliance_files, sbd_forms, checksum, status</w:t>
            </w:r>
          </w:p>
        </w:tc>
        <w:tc>
          <w:tcPr>
            <w:tcW w:type="dxa" w:w="2465"/>
            <w:vAlign w:val="center"/>
          </w:tcPr>
          <w:p>
            <w:r>
              <w:t>Must track exact files sent</w:t>
            </w:r>
          </w:p>
        </w:tc>
      </w:tr>
      <w:tr>
        <w:tc>
          <w:tcPr>
            <w:tcW w:type="dxa" w:w="2465"/>
            <w:vAlign w:val="center"/>
          </w:tcPr>
          <w:p>
            <w:r>
              <w:t>SubmissionEmail</w:t>
            </w:r>
          </w:p>
        </w:tc>
        <w:tc>
          <w:tcPr>
            <w:tcW w:type="dxa" w:w="2465"/>
            <w:vAlign w:val="center"/>
          </w:tcPr>
          <w:p>
            <w:r>
              <w:t>Email dispatch record</w:t>
            </w:r>
          </w:p>
        </w:tc>
        <w:tc>
          <w:tcPr>
            <w:tcW w:type="dxa" w:w="2465"/>
            <w:vAlign w:val="center"/>
          </w:tcPr>
          <w:p>
            <w:r>
              <w:t>recipient, cc, subject, body, attachment_paths, sent_at, result</w:t>
            </w:r>
          </w:p>
        </w:tc>
        <w:tc>
          <w:tcPr>
            <w:tcW w:type="dxa" w:w="2465"/>
            <w:vAlign w:val="center"/>
          </w:tcPr>
          <w:p>
            <w:r>
              <w:t>Should support draft and sent states</w:t>
            </w:r>
          </w:p>
        </w:tc>
      </w:tr>
      <w:tr>
        <w:tc>
          <w:tcPr>
            <w:tcW w:type="dxa" w:w="2465"/>
            <w:vAlign w:val="center"/>
          </w:tcPr>
          <w:p>
            <w:r>
              <w:t>AuditEvent</w:t>
            </w:r>
          </w:p>
        </w:tc>
        <w:tc>
          <w:tcPr>
            <w:tcW w:type="dxa" w:w="2465"/>
            <w:vAlign w:val="center"/>
          </w:tcPr>
          <w:p>
            <w:r>
              <w:t>Trace log</w:t>
            </w:r>
          </w:p>
        </w:tc>
        <w:tc>
          <w:tcPr>
            <w:tcW w:type="dxa" w:w="2465"/>
            <w:vAlign w:val="center"/>
          </w:tcPr>
          <w:p>
            <w:r>
              <w:t>event_type, entity_type, entity_id, timestamp, actor, metadata</w:t>
            </w:r>
          </w:p>
        </w:tc>
        <w:tc>
          <w:tcPr>
            <w:tcW w:type="dxa" w:w="2465"/>
            <w:vAlign w:val="center"/>
          </w:tcPr>
          <w:p>
            <w:r>
              <w:t>Generated at every significant stage</w:t>
            </w:r>
          </w:p>
        </w:tc>
      </w:tr>
    </w:tbl>
    <w:p>
      <w:pPr>
        <w:pStyle w:val="Heading1"/>
        <w:spacing w:before="160" w:after="80" w:line="276" w:lineRule="auto"/>
      </w:pPr>
      <w:r>
        <w:t>10. Qualification and Scoring Rules</w:t>
      </w:r>
    </w:p>
    <w:p>
      <w:pPr>
        <w:pStyle w:val="Heading2"/>
        <w:spacing w:before="120" w:after="80" w:line="276" w:lineRule="auto"/>
      </w:pPr>
      <w:r>
        <w:t>10.1 Hard Exclusion Rules</w:t>
      </w:r>
    </w:p>
    <w:p>
      <w:pPr>
        <w:pStyle w:val="ListBullet"/>
        <w:spacing w:before="0" w:after="20" w:line="269" w:lineRule="auto"/>
        <w:ind w:left="227"/>
      </w:pPr>
      <w:r>
        <w:t>Reject any opportunity with a compulsory briefing session.</w:t>
      </w:r>
    </w:p>
    <w:p>
      <w:pPr>
        <w:pStyle w:val="ListBullet"/>
        <w:spacing w:before="0" w:after="20" w:line="269" w:lineRule="auto"/>
        <w:ind w:left="227"/>
      </w:pPr>
      <w:r>
        <w:t>Reject excluded commodity families: medical consumables, IT equipment, petrol and diesel.</w:t>
      </w:r>
    </w:p>
    <w:p>
      <w:pPr>
        <w:pStyle w:val="ListBullet"/>
        <w:spacing w:before="0" w:after="20" w:line="269" w:lineRule="auto"/>
        <w:ind w:left="227"/>
      </w:pPr>
      <w:r>
        <w:t>Reject opportunities that clearly require service delivery rather than supply and delivery.</w:t>
      </w:r>
    </w:p>
    <w:p>
      <w:pPr>
        <w:pStyle w:val="ListBullet"/>
        <w:spacing w:before="0" w:after="20" w:line="269" w:lineRule="auto"/>
        <w:ind w:left="227"/>
      </w:pPr>
      <w:r>
        <w:t>Reject opportunities that cannot be submitted by email under current production scope.</w:t>
      </w:r>
    </w:p>
    <w:p>
      <w:pPr>
        <w:pStyle w:val="ListBullet"/>
        <w:spacing w:before="0" w:after="20" w:line="269" w:lineRule="auto"/>
        <w:ind w:left="227"/>
      </w:pPr>
      <w:r>
        <w:t>Reject opportunities with missing critical fields when the missing data blocks safe commercial evaluation.</w:t>
      </w:r>
    </w:p>
    <w:p>
      <w:pPr>
        <w:pStyle w:val="Heading2"/>
        <w:spacing w:before="120" w:after="80" w:line="276" w:lineRule="auto"/>
      </w:pPr>
      <w:r>
        <w:t>10.2 Core Positive Signals</w:t>
      </w:r>
    </w:p>
    <w:p>
      <w:pPr>
        <w:pStyle w:val="ListBullet"/>
        <w:spacing w:before="0" w:after="20" w:line="269" w:lineRule="auto"/>
        <w:ind w:left="227"/>
      </w:pPr>
      <w:r>
        <w:t>Goods-based procurement language, itemized schedules, supply-and-delivery wording and catalog-style requirements.</w:t>
      </w:r>
    </w:p>
    <w:p>
      <w:pPr>
        <w:pStyle w:val="ListBullet"/>
        <w:spacing w:before="0" w:after="20" w:line="269" w:lineRule="auto"/>
        <w:ind w:left="227"/>
      </w:pPr>
      <w:r>
        <w:t>Sufficient value or volume to plausibly exceed the minimum target profit threshold.</w:t>
      </w:r>
    </w:p>
    <w:p>
      <w:pPr>
        <w:pStyle w:val="ListBullet"/>
        <w:spacing w:before="0" w:after="20" w:line="269" w:lineRule="auto"/>
        <w:ind w:left="227"/>
      </w:pPr>
      <w:r>
        <w:t>Reasonable delivery geography and manageable compliance burden.</w:t>
      </w:r>
    </w:p>
    <w:p>
      <w:pPr>
        <w:pStyle w:val="ListBullet"/>
        <w:spacing w:before="0" w:after="20" w:line="269" w:lineRule="auto"/>
        <w:ind w:left="227"/>
      </w:pPr>
      <w:r>
        <w:t>Repeat-buying categories where supplier catalog or pricing intelligence can be reused.</w:t>
      </w:r>
    </w:p>
    <w:p>
      <w:pPr>
        <w:pStyle w:val="ListBullet"/>
        <w:spacing w:before="0" w:after="20" w:line="269" w:lineRule="auto"/>
        <w:ind w:left="227"/>
      </w:pPr>
      <w:r>
        <w:t>Clear submission instructions and accessible tender documents.</w:t>
      </w:r>
    </w:p>
    <w:p>
      <w:pPr>
        <w:pStyle w:val="Heading2"/>
        <w:spacing w:before="120" w:after="80" w:line="276" w:lineRule="auto"/>
      </w:pPr>
      <w:r>
        <w:t>10.3 Commercial Threshold Logic</w:t>
      </w:r>
    </w:p>
    <w:p>
      <w:pPr>
        <w:spacing w:before="0" w:after="100" w:line="276" w:lineRule="auto"/>
      </w:pPr>
      <w:r>
        <w:t>The minimum intended commercial standard is an estimated gross profit of at least R30,000. Where actual supplier pricing is not yet known, the system should apply a default assumed gross margin of at least 25% for supply tenders. This assumption must be visible in the score output and replaced as soon as actual pricing or supplier quotes are available.</w:t>
      </w:r>
    </w:p>
    <w:p>
      <w:pPr>
        <w:pStyle w:val="Heading2"/>
        <w:spacing w:before="120" w:after="80" w:line="276" w:lineRule="auto"/>
      </w:pPr>
      <w:r>
        <w:t>10.4 Explainability Requirement</w:t>
      </w:r>
    </w:p>
    <w:p>
      <w:pPr>
        <w:spacing w:before="0" w:after="100" w:line="276" w:lineRule="auto"/>
      </w:pPr>
      <w:r>
        <w:t>Every score must retain a machine-readable reasons array and a human-readable summary so LMCP can understand why an opportunity was promoted, demoted or excluded.</w:t>
      </w:r>
    </w:p>
    <w:p>
      <w:pPr>
        <w:pStyle w:val="Heading1"/>
        <w:spacing w:before="160" w:after="80" w:line="276" w:lineRule="auto"/>
      </w:pPr>
      <w:r>
        <w:t>11. Document Generation Blueprint</w:t>
      </w:r>
    </w:p>
    <w:p>
      <w:pPr>
        <w:pStyle w:val="Heading2"/>
        <w:spacing w:before="120" w:after="80" w:line="276" w:lineRule="auto"/>
      </w:pPr>
      <w:r>
        <w:t>11.1 Quote PDF Standard</w:t>
      </w:r>
    </w:p>
    <w:p>
      <w:pPr>
        <w:pStyle w:val="ListBullet"/>
        <w:spacing w:before="0" w:after="20" w:line="269" w:lineRule="auto"/>
        <w:ind w:left="227"/>
      </w:pPr>
      <w:r>
        <w:t>LMCP brand header and identity pulled from a central branding module.</w:t>
      </w:r>
    </w:p>
    <w:p>
      <w:pPr>
        <w:pStyle w:val="ListBullet"/>
        <w:spacing w:before="0" w:after="20" w:line="269" w:lineRule="auto"/>
        <w:ind w:left="227"/>
      </w:pPr>
      <w:r>
        <w:t>Opportunity reference, issuing entity, RFQ number and closing information.</w:t>
      </w:r>
    </w:p>
    <w:p>
      <w:pPr>
        <w:pStyle w:val="ListBullet"/>
        <w:spacing w:before="0" w:after="20" w:line="269" w:lineRule="auto"/>
        <w:ind w:left="227"/>
      </w:pPr>
      <w:r>
        <w:t>Structured line-item pricing table with quantities, unit prices, VAT and totals.</w:t>
      </w:r>
    </w:p>
    <w:p>
      <w:pPr>
        <w:pStyle w:val="ListBullet"/>
        <w:spacing w:before="0" w:after="20" w:line="269" w:lineRule="auto"/>
        <w:ind w:left="227"/>
      </w:pPr>
      <w:r>
        <w:t>Commercial assumptions, validity period and delivery commitment language.</w:t>
      </w:r>
    </w:p>
    <w:p>
      <w:pPr>
        <w:pStyle w:val="ListBullet"/>
        <w:spacing w:before="0" w:after="20" w:line="269" w:lineRule="auto"/>
        <w:ind w:left="227"/>
      </w:pPr>
      <w:r>
        <w:t>Authorized signature block and company details.</w:t>
      </w:r>
    </w:p>
    <w:p>
      <w:pPr>
        <w:pStyle w:val="ListBullet"/>
        <w:spacing w:before="0" w:after="20" w:line="269" w:lineRule="auto"/>
        <w:ind w:left="227"/>
      </w:pPr>
      <w:r>
        <w:t>Optional annexures only where they improve acceptance or are required.</w:t>
      </w:r>
    </w:p>
    <w:p>
      <w:pPr>
        <w:pStyle w:val="Heading2"/>
        <w:spacing w:before="120" w:after="80" w:line="276" w:lineRule="auto"/>
      </w:pPr>
      <w:r>
        <w:t>11.2 Submission Pack Standard</w:t>
      </w:r>
    </w:p>
    <w:p>
      <w:pPr>
        <w:pStyle w:val="ListBullet"/>
        <w:spacing w:before="0" w:after="20" w:line="269" w:lineRule="auto"/>
        <w:ind w:left="227"/>
      </w:pPr>
      <w:r>
        <w:t>Primary quotation PDF only as the commercial offer.</w:t>
      </w:r>
    </w:p>
    <w:p>
      <w:pPr>
        <w:pStyle w:val="ListBullet"/>
        <w:spacing w:before="0" w:after="20" w:line="269" w:lineRule="auto"/>
        <w:ind w:left="227"/>
      </w:pPr>
      <w:r>
        <w:t>Required compliance attachments and selected completed forms.</w:t>
      </w:r>
    </w:p>
    <w:p>
      <w:pPr>
        <w:pStyle w:val="ListBullet"/>
        <w:spacing w:before="0" w:after="20" w:line="269" w:lineRule="auto"/>
        <w:ind w:left="227"/>
      </w:pPr>
      <w:r>
        <w:t>File naming convention that is professional, deterministic and easy for buyers to identify.</w:t>
      </w:r>
    </w:p>
    <w:p>
      <w:pPr>
        <w:pStyle w:val="ListBullet"/>
        <w:spacing w:before="0" w:after="20" w:line="269" w:lineRule="auto"/>
        <w:ind w:left="227"/>
      </w:pPr>
      <w:r>
        <w:t>Pack manifest metadata stored in the database even if the sent email uses individual attachments.</w:t>
      </w:r>
    </w:p>
    <w:p>
      <w:pPr>
        <w:pStyle w:val="Heading2"/>
        <w:spacing w:before="120" w:after="80" w:line="276" w:lineRule="auto"/>
      </w:pPr>
      <w:r>
        <w:t>11.3 Branding Control</w:t>
      </w:r>
    </w:p>
    <w:p>
      <w:pPr>
        <w:spacing w:before="0" w:after="100" w:line="276" w:lineRule="auto"/>
      </w:pPr>
      <w:r>
        <w:t>Branding must live in a dedicated configuration module so all generated outputs use the same logo paths, company legal name, registration details, signatory details and formatting rules. No template should hardcode branding in scattered files.</w:t>
      </w:r>
    </w:p>
    <w:p>
      <w:pPr>
        <w:pStyle w:val="Heading1"/>
        <w:spacing w:before="160" w:after="80" w:line="276" w:lineRule="auto"/>
      </w:pPr>
      <w:r>
        <w:t>12. API and Route Blueprint</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pPr>
              <w:jc w:val="center"/>
            </w:pPr>
            <w:r>
              <w:rPr>
                <w:b/>
              </w:rPr>
              <w:t>Route Family</w:t>
            </w:r>
          </w:p>
        </w:tc>
        <w:tc>
          <w:tcPr>
            <w:tcW w:type="dxa" w:w="3286"/>
            <w:shd w:fill="D9EAF7"/>
          </w:tcPr>
          <w:p>
            <w:pPr>
              <w:jc w:val="center"/>
            </w:pPr>
            <w:r>
              <w:rPr>
                <w:b/>
              </w:rPr>
              <w:t>Purpose</w:t>
            </w:r>
          </w:p>
        </w:tc>
        <w:tc>
          <w:tcPr>
            <w:tcW w:type="dxa" w:w="3286"/>
            <w:shd w:fill="D9EAF7"/>
          </w:tcPr>
          <w:p>
            <w:pPr>
              <w:jc w:val="center"/>
            </w:pPr>
            <w:r>
              <w:rPr>
                <w:b/>
              </w:rPr>
              <w:t>Notes</w:t>
            </w:r>
          </w:p>
        </w:tc>
      </w:tr>
      <w:tr>
        <w:tc>
          <w:tcPr>
            <w:tcW w:type="dxa" w:w="3286"/>
            <w:vAlign w:val="center"/>
          </w:tcPr>
          <w:p>
            <w:r>
              <w:t>dashboard</w:t>
            </w:r>
          </w:p>
        </w:tc>
        <w:tc>
          <w:tcPr>
            <w:tcW w:type="dxa" w:w="3286"/>
            <w:vAlign w:val="center"/>
          </w:tcPr>
          <w:p>
            <w:r>
              <w:t>Summary, health, counts, latest events</w:t>
            </w:r>
          </w:p>
        </w:tc>
        <w:tc>
          <w:tcPr>
            <w:tcW w:type="dxa" w:w="3286"/>
            <w:vAlign w:val="center"/>
          </w:tcPr>
          <w:p>
            <w:r>
              <w:t>Read-only operational visibility</w:t>
            </w:r>
          </w:p>
        </w:tc>
      </w:tr>
      <w:tr>
        <w:tc>
          <w:tcPr>
            <w:tcW w:type="dxa" w:w="3286"/>
            <w:vAlign w:val="center"/>
          </w:tcPr>
          <w:p>
            <w:r>
              <w:t>autonomous</w:t>
            </w:r>
          </w:p>
        </w:tc>
        <w:tc>
          <w:tcPr>
            <w:tcW w:type="dxa" w:w="3286"/>
            <w:vAlign w:val="center"/>
          </w:tcPr>
          <w:p>
            <w:r>
              <w:t>Status, run-once, schedule control</w:t>
            </w:r>
          </w:p>
        </w:tc>
        <w:tc>
          <w:tcPr>
            <w:tcW w:type="dxa" w:w="3286"/>
            <w:vAlign w:val="center"/>
          </w:tcPr>
          <w:p>
            <w:r>
              <w:t>Must call canonical pipeline service</w:t>
            </w:r>
          </w:p>
        </w:tc>
      </w:tr>
      <w:tr>
        <w:tc>
          <w:tcPr>
            <w:tcW w:type="dxa" w:w="3286"/>
            <w:vAlign w:val="center"/>
          </w:tcPr>
          <w:p>
            <w:r>
              <w:t>opportunities</w:t>
            </w:r>
          </w:p>
        </w:tc>
        <w:tc>
          <w:tcPr>
            <w:tcW w:type="dxa" w:w="3286"/>
            <w:vAlign w:val="center"/>
          </w:tcPr>
          <w:p>
            <w:r>
              <w:t>Harvest results, filtered RFQs, review and promotion</w:t>
            </w:r>
          </w:p>
        </w:tc>
        <w:tc>
          <w:tcPr>
            <w:tcW w:type="dxa" w:w="3286"/>
            <w:vAlign w:val="center"/>
          </w:tcPr>
          <w:p>
            <w:r>
              <w:t>Opportunity browsing and triage</w:t>
            </w:r>
          </w:p>
        </w:tc>
      </w:tr>
      <w:tr>
        <w:tc>
          <w:tcPr>
            <w:tcW w:type="dxa" w:w="3286"/>
            <w:vAlign w:val="center"/>
          </w:tcPr>
          <w:p>
            <w:r>
              <w:t>quotes</w:t>
            </w:r>
          </w:p>
        </w:tc>
        <w:tc>
          <w:tcPr>
            <w:tcW w:type="dxa" w:w="3286"/>
            <w:vAlign w:val="center"/>
          </w:tcPr>
          <w:p>
            <w:r>
              <w:t>Quote draft generation and retrieval</w:t>
            </w:r>
          </w:p>
        </w:tc>
        <w:tc>
          <w:tcPr>
            <w:tcW w:type="dxa" w:w="3286"/>
            <w:vAlign w:val="center"/>
          </w:tcPr>
          <w:p>
            <w:r>
              <w:t>Should not bypass qualification data</w:t>
            </w:r>
          </w:p>
        </w:tc>
      </w:tr>
      <w:tr>
        <w:tc>
          <w:tcPr>
            <w:tcW w:type="dxa" w:w="3286"/>
            <w:vAlign w:val="center"/>
          </w:tcPr>
          <w:p>
            <w:r>
              <w:t>quote pack</w:t>
            </w:r>
          </w:p>
        </w:tc>
        <w:tc>
          <w:tcPr>
            <w:tcW w:type="dxa" w:w="3286"/>
            <w:vAlign w:val="center"/>
          </w:tcPr>
          <w:p>
            <w:r>
              <w:t>Build and retrieve PDF packs</w:t>
            </w:r>
          </w:p>
        </w:tc>
        <w:tc>
          <w:tcPr>
            <w:tcW w:type="dxa" w:w="3286"/>
            <w:vAlign w:val="center"/>
          </w:tcPr>
          <w:p>
            <w:r>
              <w:t>Uses real quote data and branding</w:t>
            </w:r>
          </w:p>
        </w:tc>
      </w:tr>
      <w:tr>
        <w:tc>
          <w:tcPr>
            <w:tcW w:type="dxa" w:w="3286"/>
            <w:vAlign w:val="center"/>
          </w:tcPr>
          <w:p>
            <w:r>
              <w:t>submission</w:t>
            </w:r>
          </w:p>
        </w:tc>
        <w:tc>
          <w:tcPr>
            <w:tcW w:type="dxa" w:w="3286"/>
            <w:vAlign w:val="center"/>
          </w:tcPr>
          <w:p>
            <w:r>
              <w:t>Draft/send emails, attach packs, track results</w:t>
            </w:r>
          </w:p>
        </w:tc>
        <w:tc>
          <w:tcPr>
            <w:tcW w:type="dxa" w:w="3286"/>
            <w:vAlign w:val="center"/>
          </w:tcPr>
          <w:p>
            <w:r>
              <w:t>Must create audit events</w:t>
            </w:r>
          </w:p>
        </w:tc>
      </w:tr>
      <w:tr>
        <w:tc>
          <w:tcPr>
            <w:tcW w:type="dxa" w:w="3286"/>
            <w:vAlign w:val="center"/>
          </w:tcPr>
          <w:p>
            <w:r>
              <w:t>compliance</w:t>
            </w:r>
          </w:p>
        </w:tc>
        <w:tc>
          <w:tcPr>
            <w:tcW w:type="dxa" w:w="3286"/>
            <w:vAlign w:val="center"/>
          </w:tcPr>
          <w:p>
            <w:r>
              <w:t>Manage compliance docs and requirement mapping</w:t>
            </w:r>
          </w:p>
        </w:tc>
        <w:tc>
          <w:tcPr>
            <w:tcW w:type="dxa" w:w="3286"/>
            <w:vAlign w:val="center"/>
          </w:tcPr>
          <w:p>
            <w:r>
              <w:t>Central source for attachment assembly</w:t>
            </w:r>
          </w:p>
        </w:tc>
      </w:tr>
      <w:tr>
        <w:tc>
          <w:tcPr>
            <w:tcW w:type="dxa" w:w="3286"/>
            <w:vAlign w:val="center"/>
          </w:tcPr>
          <w:p>
            <w:r>
              <w:t>system</w:t>
            </w:r>
          </w:p>
        </w:tc>
        <w:tc>
          <w:tcPr>
            <w:tcW w:type="dxa" w:w="3286"/>
            <w:vAlign w:val="center"/>
          </w:tcPr>
          <w:p>
            <w:r>
              <w:t>Readiness and service diagnostics</w:t>
            </w:r>
          </w:p>
        </w:tc>
        <w:tc>
          <w:tcPr>
            <w:tcW w:type="dxa" w:w="3286"/>
            <w:vAlign w:val="center"/>
          </w:tcPr>
          <w:p>
            <w:r>
              <w:t>For ops and environment checks</w:t>
            </w:r>
          </w:p>
        </w:tc>
      </w:tr>
    </w:tbl>
    <w:p>
      <w:pPr>
        <w:spacing w:before="0" w:after="100" w:line="276" w:lineRule="auto"/>
      </w:pPr>
      <w:r>
        <w:t>Every route family should remain thin. Validation, transformations and workflows belong in services, not in route handlers. This is the key control that prevents the codebase from turning into parallel mini-systems.</w:t>
      </w:r>
    </w:p>
    <w:p>
      <w:pPr>
        <w:pStyle w:val="Heading1"/>
        <w:spacing w:before="160" w:after="80" w:line="276" w:lineRule="auto"/>
      </w:pPr>
      <w:r>
        <w:t>13. Orchestration and Scheduling Blueprint</w:t>
      </w:r>
    </w:p>
    <w:p>
      <w:pPr>
        <w:spacing w:before="0" w:after="100" w:line="276" w:lineRule="auto"/>
      </w:pPr>
      <w:r>
        <w:t>Celery should be used for batchable, retryable work such as harvesting, enrichment, quote generation, document rendering and email dispatch. FastAPI should remain the command and visibility surface, while Redis supports broker and short-lived coordination.</w:t>
      </w:r>
    </w:p>
    <w:p>
      <w:pPr>
        <w:pStyle w:val="ListBullet"/>
        <w:spacing w:before="0" w:after="20" w:line="269" w:lineRule="auto"/>
        <w:ind w:left="227"/>
      </w:pPr>
      <w:r>
        <w:t>Manual run-once trigger for debugging and safe regression checks.</w:t>
      </w:r>
    </w:p>
    <w:p>
      <w:pPr>
        <w:pStyle w:val="ListBullet"/>
        <w:spacing w:before="0" w:after="20" w:line="269" w:lineRule="auto"/>
        <w:ind w:left="227"/>
      </w:pPr>
      <w:r>
        <w:t>Scheduled harvest jobs at controlled intervals.</w:t>
      </w:r>
    </w:p>
    <w:p>
      <w:pPr>
        <w:pStyle w:val="ListBullet"/>
        <w:spacing w:before="0" w:after="20" w:line="269" w:lineRule="auto"/>
        <w:ind w:left="227"/>
      </w:pPr>
      <w:r>
        <w:t>Queue separation for harvesting, document generation and email sending to avoid long task pileups.</w:t>
      </w:r>
    </w:p>
    <w:p>
      <w:pPr>
        <w:pStyle w:val="ListBullet"/>
        <w:spacing w:before="0" w:after="20" w:line="269" w:lineRule="auto"/>
        <w:ind w:left="227"/>
      </w:pPr>
      <w:r>
        <w:t>Retry policy with capped retries, backoff and failure surfacing on the dashboard.</w:t>
      </w:r>
    </w:p>
    <w:p>
      <w:pPr>
        <w:pStyle w:val="ListBullet"/>
        <w:spacing w:before="0" w:after="20" w:line="269" w:lineRule="auto"/>
        <w:ind w:left="227"/>
      </w:pPr>
      <w:r>
        <w:t>Idempotency guards so repeated runs do not generate duplicate submissions.</w:t>
      </w:r>
    </w:p>
    <w:p>
      <w:pPr>
        <w:pStyle w:val="Heading1"/>
        <w:spacing w:before="160" w:after="80" w:line="276" w:lineRule="auto"/>
      </w:pPr>
      <w:r>
        <w:t>14. Persistence Blueprint</w:t>
      </w:r>
    </w:p>
    <w:p>
      <w:pPr>
        <w:pStyle w:val="ListBullet"/>
        <w:spacing w:before="0" w:after="20" w:line="269" w:lineRule="auto"/>
        <w:ind w:left="227"/>
      </w:pPr>
      <w:r>
        <w:t>Postgres should store opportunities, scores, quote drafts, submission records, compliance metadata and audit events.</w:t>
      </w:r>
    </w:p>
    <w:p>
      <w:pPr>
        <w:pStyle w:val="ListBullet"/>
        <w:spacing w:before="0" w:after="20" w:line="269" w:lineRule="auto"/>
        <w:ind w:left="227"/>
      </w:pPr>
      <w:r>
        <w:t>Redis should store task queue state and lightweight transient coordination data only.</w:t>
      </w:r>
    </w:p>
    <w:p>
      <w:pPr>
        <w:pStyle w:val="ListBullet"/>
        <w:spacing w:before="0" w:after="20" w:line="269" w:lineRule="auto"/>
        <w:ind w:left="227"/>
      </w:pPr>
      <w:r>
        <w:t>Runtime JSON stores may exist for temporary live RFQ views, but they must not become the long-term system of record.</w:t>
      </w:r>
    </w:p>
    <w:p>
      <w:pPr>
        <w:pStyle w:val="ListBullet"/>
        <w:spacing w:before="0" w:after="20" w:line="269" w:lineRule="auto"/>
        <w:ind w:left="227"/>
      </w:pPr>
      <w:r>
        <w:t>Generated PDFs and attachments should be stored using a deterministic folder structure with metadata references in the database.</w:t>
      </w:r>
    </w:p>
    <w:p>
      <w:pPr>
        <w:pStyle w:val="ListBullet"/>
        <w:spacing w:before="0" w:after="20" w:line="269" w:lineRule="auto"/>
        <w:ind w:left="227"/>
      </w:pPr>
      <w:r>
        <w:t>Every output file should be traceable to the source opportunity and run batch that produced it.</w:t>
      </w:r>
    </w:p>
    <w:p>
      <w:pPr>
        <w:pStyle w:val="Heading1"/>
        <w:spacing w:before="160" w:after="80" w:line="276" w:lineRule="auto"/>
      </w:pPr>
      <w:r>
        <w:t>15. Security, Governance and Risk Controls</w:t>
      </w:r>
    </w:p>
    <w:p>
      <w:pPr>
        <w:pStyle w:val="ListBullet"/>
        <w:spacing w:before="0" w:after="20" w:line="269" w:lineRule="auto"/>
        <w:ind w:left="227"/>
      </w:pPr>
      <w:r>
        <w:t>Protect email credentials, database credentials and external keys through environment variables or secret storage only.</w:t>
      </w:r>
    </w:p>
    <w:p>
      <w:pPr>
        <w:pStyle w:val="ListBullet"/>
        <w:spacing w:before="0" w:after="20" w:line="269" w:lineRule="auto"/>
        <w:ind w:left="227"/>
      </w:pPr>
      <w:r>
        <w:t>Validate all outbound recipient addresses against the source tender instructions before sending.</w:t>
      </w:r>
    </w:p>
    <w:p>
      <w:pPr>
        <w:pStyle w:val="ListBullet"/>
        <w:spacing w:before="0" w:after="20" w:line="269" w:lineRule="auto"/>
        <w:ind w:left="227"/>
      </w:pPr>
      <w:r>
        <w:t>Maintain approval gates for any action that creates a commercial commitment where assumptions are weak.</w:t>
      </w:r>
    </w:p>
    <w:p>
      <w:pPr>
        <w:pStyle w:val="ListBullet"/>
        <w:spacing w:before="0" w:after="20" w:line="269" w:lineRule="auto"/>
        <w:ind w:left="227"/>
      </w:pPr>
      <w:r>
        <w:t>Record user or system actor identity on every critical event.</w:t>
      </w:r>
    </w:p>
    <w:p>
      <w:pPr>
        <w:pStyle w:val="ListBullet"/>
        <w:spacing w:before="0" w:after="20" w:line="269" w:lineRule="auto"/>
        <w:ind w:left="227"/>
      </w:pPr>
      <w:r>
        <w:t>Preserve source notice snapshots or references to defend against disputes over what was harvested.</w:t>
      </w:r>
    </w:p>
    <w:p>
      <w:pPr>
        <w:pStyle w:val="ListBullet"/>
        <w:spacing w:before="0" w:after="20" w:line="269" w:lineRule="auto"/>
        <w:ind w:left="227"/>
      </w:pPr>
      <w:r>
        <w:t>Never allow silent substitution of quote totals, recipients or attachments without an audit event.</w:t>
      </w:r>
    </w:p>
    <w:p>
      <w:pPr>
        <w:pStyle w:val="Heading1"/>
        <w:spacing w:before="160" w:after="80" w:line="276" w:lineRule="auto"/>
      </w:pPr>
      <w:r>
        <w:t>16. Observability and Control Tower Requirements</w:t>
      </w:r>
    </w:p>
    <w:p>
      <w:pPr>
        <w:pStyle w:val="ListBullet"/>
        <w:spacing w:before="0" w:after="20" w:line="269" w:lineRule="auto"/>
        <w:ind w:left="227"/>
      </w:pPr>
      <w:r>
        <w:t>System health tiles for API, database, Redis, worker and scheduler.</w:t>
      </w:r>
    </w:p>
    <w:p>
      <w:pPr>
        <w:pStyle w:val="ListBullet"/>
        <w:spacing w:before="0" w:after="20" w:line="269" w:lineRule="auto"/>
        <w:ind w:left="227"/>
      </w:pPr>
      <w:r>
        <w:t>Batch counters: harvested, excluded, qualified, quote_ready, quoted, packed, emailed, failed.</w:t>
      </w:r>
    </w:p>
    <w:p>
      <w:pPr>
        <w:pStyle w:val="ListBullet"/>
        <w:spacing w:before="0" w:after="20" w:line="269" w:lineRule="auto"/>
        <w:ind w:left="227"/>
      </w:pPr>
      <w:r>
        <w:t>Latest error stream with drill-down to entity and stage.</w:t>
      </w:r>
    </w:p>
    <w:p>
      <w:pPr>
        <w:pStyle w:val="ListBullet"/>
        <w:spacing w:before="0" w:after="20" w:line="269" w:lineRule="auto"/>
        <w:ind w:left="227"/>
      </w:pPr>
      <w:r>
        <w:t>Opportunity review table with filters by province, issuer, category, score and status.</w:t>
      </w:r>
    </w:p>
    <w:p>
      <w:pPr>
        <w:pStyle w:val="ListBullet"/>
        <w:spacing w:before="0" w:after="20" w:line="269" w:lineRule="auto"/>
        <w:ind w:left="227"/>
      </w:pPr>
      <w:r>
        <w:t>Submission monitor with email result, timestamp and attachment manifest.</w:t>
      </w:r>
    </w:p>
    <w:p>
      <w:pPr>
        <w:pStyle w:val="ListBullet"/>
        <w:spacing w:before="0" w:after="20" w:line="269" w:lineRule="auto"/>
        <w:ind w:left="227"/>
      </w:pPr>
      <w:r>
        <w:t>Audit timeline for each opportunity from harvest through submission.</w:t>
      </w:r>
    </w:p>
    <w:p>
      <w:pPr>
        <w:pStyle w:val="Heading1"/>
        <w:spacing w:before="160" w:after="80" w:line="276" w:lineRule="auto"/>
      </w:pPr>
      <w:r>
        <w:t>17. Recommended Build Sequence</w:t>
      </w:r>
    </w:p>
    <w:p>
      <w:pPr>
        <w:pStyle w:val="ListNumber"/>
        <w:spacing w:before="0" w:after="20" w:line="276" w:lineRule="auto"/>
      </w:pPr>
      <w:r>
        <w:t>Stabilize application entry point and restore all required routers in one canonical main.py.</w:t>
      </w:r>
    </w:p>
    <w:p>
      <w:pPr>
        <w:pStyle w:val="ListNumber"/>
        <w:spacing w:before="0" w:after="20" w:line="276" w:lineRule="auto"/>
      </w:pPr>
      <w:r>
        <w:t>Lock the normalized RFQ schema and qualification rules so the pipeline has a stable contract.</w:t>
      </w:r>
    </w:p>
    <w:p>
      <w:pPr>
        <w:pStyle w:val="ListNumber"/>
        <w:spacing w:before="0" w:after="20" w:line="276" w:lineRule="auto"/>
      </w:pPr>
      <w:r>
        <w:t>Connect harvester output into the canonical tender pipeline service.</w:t>
      </w:r>
    </w:p>
    <w:p>
      <w:pPr>
        <w:pStyle w:val="ListNumber"/>
        <w:spacing w:before="0" w:after="20" w:line="276" w:lineRule="auto"/>
      </w:pPr>
      <w:r>
        <w:t>Finalize quote engine data model and real line-item pricing logic.</w:t>
      </w:r>
    </w:p>
    <w:p>
      <w:pPr>
        <w:pStyle w:val="ListNumber"/>
        <w:spacing w:before="0" w:after="20" w:line="276" w:lineRule="auto"/>
      </w:pPr>
      <w:r>
        <w:t>Complete branded PDF quote pack generation from real quote data.</w:t>
      </w:r>
    </w:p>
    <w:p>
      <w:pPr>
        <w:pStyle w:val="ListNumber"/>
        <w:spacing w:before="0" w:after="20" w:line="276" w:lineRule="auto"/>
      </w:pPr>
      <w:r>
        <w:t>Attach compliance document assembly and SBD form integration.</w:t>
      </w:r>
    </w:p>
    <w:p>
      <w:pPr>
        <w:pStyle w:val="ListNumber"/>
        <w:spacing w:before="0" w:after="20" w:line="276" w:lineRule="auto"/>
      </w:pPr>
      <w:r>
        <w:t>Wire email submission and audit logging.</w:t>
      </w:r>
    </w:p>
    <w:p>
      <w:pPr>
        <w:pStyle w:val="ListNumber"/>
        <w:spacing w:before="0" w:after="20" w:line="276" w:lineRule="auto"/>
      </w:pPr>
      <w:r>
        <w:t>Upgrade dashboard into a true command center with status and review controls.</w:t>
      </w:r>
    </w:p>
    <w:p>
      <w:pPr>
        <w:pStyle w:val="ListNumber"/>
        <w:spacing w:before="0" w:after="20" w:line="276" w:lineRule="auto"/>
      </w:pPr>
      <w:r>
        <w:t>Harden scheduling, retries, idempotency and file persistence.</w:t>
      </w:r>
    </w:p>
    <w:p>
      <w:pPr>
        <w:pStyle w:val="ListNumber"/>
        <w:spacing w:before="0" w:after="20" w:line="276" w:lineRule="auto"/>
      </w:pPr>
      <w:r>
        <w:t>Run end-to-end test packs against sample tenders before broadening source coverage.</w:t>
      </w:r>
    </w:p>
    <w:p>
      <w:pPr>
        <w:pStyle w:val="Heading1"/>
        <w:spacing w:before="160" w:after="80" w:line="276" w:lineRule="auto"/>
      </w:pPr>
      <w:r>
        <w:t>18. Non-Negotiable Acceptance Criteria</w:t>
      </w:r>
    </w:p>
    <w:p>
      <w:pPr>
        <w:pStyle w:val="ListBullet"/>
        <w:spacing w:before="0" w:after="20" w:line="269" w:lineRule="auto"/>
        <w:ind w:left="227"/>
      </w:pPr>
      <w:r>
        <w:t>A single manual trigger can execute the pipeline from harvest to quote-ready output without code edits.</w:t>
      </w:r>
    </w:p>
    <w:p>
      <w:pPr>
        <w:pStyle w:val="ListBullet"/>
        <w:spacing w:before="0" w:after="20" w:line="269" w:lineRule="auto"/>
        <w:ind w:left="227"/>
      </w:pPr>
      <w:r>
        <w:t>Qualified opportunities are explainable and visibly filtered against LMCP rules.</w:t>
      </w:r>
    </w:p>
    <w:p>
      <w:pPr>
        <w:pStyle w:val="ListBullet"/>
        <w:spacing w:before="0" w:after="20" w:line="269" w:lineRule="auto"/>
        <w:ind w:left="227"/>
      </w:pPr>
      <w:r>
        <w:t>Generated quotation PDFs contain real data and correct totals.</w:t>
      </w:r>
    </w:p>
    <w:p>
      <w:pPr>
        <w:pStyle w:val="ListBullet"/>
        <w:spacing w:before="0" w:after="20" w:line="269" w:lineRule="auto"/>
        <w:ind w:left="227"/>
      </w:pPr>
      <w:r>
        <w:t>Submission emails can be drafted or sent with the exact quotation PDF and required compliance files.</w:t>
      </w:r>
    </w:p>
    <w:p>
      <w:pPr>
        <w:pStyle w:val="ListBullet"/>
        <w:spacing w:before="0" w:after="20" w:line="269" w:lineRule="auto"/>
        <w:ind w:left="227"/>
      </w:pPr>
      <w:r>
        <w:t>All major stages create auditable records.</w:t>
      </w:r>
    </w:p>
    <w:p>
      <w:pPr>
        <w:pStyle w:val="ListBullet"/>
        <w:spacing w:before="0" w:after="20" w:line="269" w:lineRule="auto"/>
        <w:ind w:left="227"/>
      </w:pPr>
      <w:r>
        <w:t>No duplicate route families or parallel workflow engines remain in the production path.</w:t>
      </w:r>
    </w:p>
    <w:p>
      <w:pPr>
        <w:pStyle w:val="Heading1"/>
        <w:spacing w:before="160" w:after="80" w:line="276" w:lineRule="auto"/>
      </w:pPr>
      <w:r>
        <w:t>19. Future Expansion Path</w:t>
      </w:r>
    </w:p>
    <w:p>
      <w:pPr>
        <w:pStyle w:val="ListBullet"/>
        <w:spacing w:before="0" w:after="20" w:line="269" w:lineRule="auto"/>
        <w:ind w:left="227"/>
      </w:pPr>
      <w:r>
        <w:t>Broaden source adapter coverage to more SOEs, departments and municipalities once the core pipeline is stable.</w:t>
      </w:r>
    </w:p>
    <w:p>
      <w:pPr>
        <w:pStyle w:val="ListBullet"/>
        <w:spacing w:before="0" w:after="20" w:line="269" w:lineRule="auto"/>
        <w:ind w:left="227"/>
      </w:pPr>
      <w:r>
        <w:t>Add richer supplier catalog and historical pricing intelligence.</w:t>
      </w:r>
    </w:p>
    <w:p>
      <w:pPr>
        <w:pStyle w:val="ListBullet"/>
        <w:spacing w:before="0" w:after="20" w:line="269" w:lineRule="auto"/>
        <w:ind w:left="227"/>
      </w:pPr>
      <w:r>
        <w:t>Add confidence scoring based on past win patterns and issuer behavior.</w:t>
      </w:r>
    </w:p>
    <w:p>
      <w:pPr>
        <w:pStyle w:val="ListBullet"/>
        <w:spacing w:before="0" w:after="20" w:line="269" w:lineRule="auto"/>
        <w:ind w:left="227"/>
      </w:pPr>
      <w:r>
        <w:t>Introduce approval workflows by risk level instead of one universal manual review step.</w:t>
      </w:r>
    </w:p>
    <w:p>
      <w:pPr>
        <w:pStyle w:val="ListBullet"/>
        <w:spacing w:before="0" w:after="20" w:line="269" w:lineRule="auto"/>
        <w:ind w:left="227"/>
      </w:pPr>
      <w:r>
        <w:t>Add document extraction from tender attachments to improve itemized quote automation.</w:t>
      </w:r>
    </w:p>
    <w:p>
      <w:pPr>
        <w:pStyle w:val="ListBullet"/>
        <w:spacing w:before="0" w:after="20" w:line="269" w:lineRule="auto"/>
        <w:ind w:left="227"/>
      </w:pPr>
      <w:r>
        <w:t>Add portfolio analytics for revenue pipeline, conversion and profit tracking.</w:t>
      </w:r>
    </w:p>
    <w:p>
      <w:pPr>
        <w:pStyle w:val="Heading1"/>
        <w:spacing w:before="160" w:after="80" w:line="276" w:lineRule="auto"/>
      </w:pPr>
      <w:r>
        <w:t>20. Final Implementation Note</w:t>
      </w:r>
    </w:p>
    <w:p>
      <w:pPr>
        <w:spacing w:before="0" w:after="100" w:line="276" w:lineRule="auto"/>
      </w:pPr>
      <w:r>
        <w:t>The fastest path to a reliable LMCP AutoQuote production system is disciplined consolidation, not more fragments. Every next change should strengthen the single canonical pipeline: harvested notice -&gt; qualification -&gt; scoring -&gt; quote draft -&gt; branded PDF pack -&gt; email submission -&gt; audit trail. If a proposed change does not clearly improve that chain, it should be deferred or rejected.</w:t>
      </w:r>
    </w:p>
    <w:sectPr w:rsidR="00FC693F" w:rsidRPr="0006063C" w:rsidSect="00034616">
      <w:footerReference w:type="default" r:id="rId9"/>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7"/>
      </w:rPr>
      <w:t xml:space="preserve">LMCP AutoQuote System Blueprint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2F4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6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F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65F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