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" w:line="360"/>
        <w:jc w:val="center"/>
      </w:pPr>
      <w:r>
        <w:rPr>
          <w:rFonts w:ascii="SimHei" w:eastAsia="SimHei"/>
          <w:b/>
          <w:bCs/>
          <w:sz w:val="30"/>
          <w:szCs w:val="30"/>
        </w:rPr>
        <w:t xml:space="preserve">SafeLoop 开发文档</w:t>
      </w:r>
    </w:p>
    <w:p>
      <w:pPr>
        <w:spacing w:after="240" w:line="360"/>
        <w:jc w:val="center"/>
      </w:pPr>
      <w:r>
        <w:rPr>
          <w:rFonts w:ascii="SimSun" w:eastAsia="SimSun"/>
          <w:color w:val="444444"/>
          <w:sz w:val="24"/>
          <w:szCs w:val="24"/>
        </w:rPr>
        <w:t xml:space="preserve">基于判别反馈与协同进化的大语言模型闭环安全评估工作台 ｜ v1.1 ｜ 2026 年 10 月</w:t>
      </w:r>
    </w:p>
    <w:p>
      <w:pPr>
        <w:pStyle w:val="Heading1"/>
        <w:spacing w:after="140" w:before="320" w:line="360"/>
      </w:pPr>
      <w:r>
        <w:rPr>
          <w:rFonts w:ascii="SimHei" w:eastAsia="SimHei"/>
          <w:b/>
          <w:bCs/>
          <w:color w:val="000000"/>
          <w:sz w:val="28"/>
          <w:szCs w:val="28"/>
        </w:rPr>
        <w:t xml:space="preserve">一、项目概述</w:t>
      </w:r>
    </w:p>
    <w:p>
      <w:pPr>
        <w:spacing w:after="60" w:line="360"/>
        <w:ind w:firstLine="480"/>
        <w:jc w:val="both"/>
      </w:pPr>
      <w:r>
        <w:rPr>
          <w:rFonts w:ascii="SimSun" w:eastAsia="SimSun"/>
          <w:sz w:val="24"/>
          <w:szCs w:val="24"/>
        </w:rPr>
        <w:t xml:space="preserve">SafeLoop 是一个单机部署的大语言模型安全评估工作台,以「多智能体闭环红队 + 独立评审」为核心机制:红方测试员对被测模型进行多轮自适应提问,安全判别器逐轮观察,独立评审官在闭环之外做最终裁决并出具人话报告。产品面向三类入口——网页工作台(零门槛)、终端工作台(向导式)与统一命令行(脚本友好),三者共享同一运行管理内核,支持本地模型与在线黑盒 API 两种被测对象。</w:t>
      </w:r>
    </w:p>
    <w:p>
      <w:pPr>
        <w:spacing w:after="60" w:line="360"/>
        <w:ind w:firstLine="480"/>
        <w:jc w:val="both"/>
      </w:pPr>
      <w:r>
        <w:rPr>
          <w:rFonts w:ascii="SimSun" w:eastAsia="SimSun"/>
          <w:sz w:val="24"/>
          <w:szCs w:val="24"/>
        </w:rPr>
        <w:t xml:space="preserve">技术栈:核心引擎与后端为 Python(3.8+ 兼容),Web 服务采用 FastAPI + uvicorn 单进程承载 REST API 与前端静态资源;前端为 Vue 3 + Element Plus + Pinia 单页应用(dist 产物入库,免构建运行);持久化使用 SQLite(运行库)与文件系统(轨迹/报告/存档);本地模型推理基于 transformers,支持 NF4 量化与分时加载。</w:t>
      </w:r>
    </w:p>
    <w:p>
      <w:pPr>
        <w:spacing w:after="60" w:line="360"/>
        <w:jc w:val="both"/>
      </w:pPr>
      <w:r>
        <w:rPr>
          <w:rFonts w:ascii="SimSun" w:eastAsia="SimSun"/>
          <w:sz w:val="24"/>
          <w:szCs w:val="24"/>
        </w:rPr>
        <w:t xml:space="preserve">仓库主要目录结构如下:</w:t>
      </w:r>
    </w:p>
    <w:p>
      <w:pPr>
        <w:shd w:fill="F4F6F8" w:val="clear"/>
        <w:spacing w:after="0" w:before="80" w:line="280"/>
        <w:ind w:left="240"/>
        <w:jc w:val="left"/>
      </w:pPr>
      <w:r>
        <w:rPr>
          <w:rFonts w:ascii="Consolas" w:eastAsia="SimSun"/>
          <w:color w:val="000000"/>
          <w:sz w:val="19"/>
          <w:szCs w:val="19"/>
        </w:rPr>
        <w:t xml:space="preserve">SafeLoop/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000000"/>
          <w:sz w:val="19"/>
          <w:szCs w:val="19"/>
        </w:rPr>
        <w:t xml:space="preserve">├── core/        协议、schema、协调器、奖励(冻结层)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000000"/>
          <w:sz w:val="19"/>
          <w:szCs w:val="19"/>
        </w:rPr>
        <w:t xml:space="preserve">├── engine/      batch_runner 四相位执行器、检查点、工厂、成本核算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000000"/>
          <w:sz w:val="19"/>
          <w:szCs w:val="19"/>
        </w:rPr>
        <w:t xml:space="preserve">├── agents/      红方、判别器(Qwen3Guard)、目标推进判别等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000000"/>
          <w:sz w:val="19"/>
          <w:szCs w:val="19"/>
        </w:rPr>
        <w:t xml:space="preserve">├── targets/     被测端:本地 HF(NF4)/脚本/黑盒 API 三通道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000000"/>
          <w:sz w:val="19"/>
          <w:szCs w:val="19"/>
        </w:rPr>
        <w:t xml:space="preserve">├── evaluation/  独立评审 StrongREJECT、指标、统计检验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000000"/>
          <w:sz w:val="19"/>
          <w:szCs w:val="19"/>
        </w:rPr>
        <w:t xml:space="preserve">├── safeloop/    产品层:main_agent 总控、RunManager、skills(报告/存档/记忆/调度)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000000"/>
          <w:sz w:val="19"/>
          <w:szCs w:val="19"/>
        </w:rPr>
        <w:t xml:space="preserve">├── apps/        web(Vue3 SPA)/ api(FastAPI)/ cli(命令行与终端工作台)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000000"/>
          <w:sz w:val="19"/>
          <w:szCs w:val="19"/>
        </w:rPr>
        <w:t xml:space="preserve">├── data/        任务集:jbb100(英文)与 safeloop_cn(中文,国标五域)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000000"/>
          <w:sz w:val="19"/>
          <w:szCs w:val="19"/>
        </w:rPr>
        <w:t xml:space="preserve">├── outputs/     运行产物:报告、轨迹、检查点、运行库</w:t>
      </w:r>
    </w:p>
    <w:p>
      <w:pPr>
        <w:shd w:fill="F4F6F8" w:val="clear"/>
        <w:spacing w:after="120" w:before="0" w:line="280"/>
        <w:ind w:left="240"/>
        <w:jc w:val="left"/>
      </w:pPr>
      <w:r>
        <w:rPr>
          <w:rFonts w:ascii="Consolas" w:eastAsia="SimSun"/>
          <w:color w:val="000000"/>
          <w:sz w:val="19"/>
          <w:szCs w:val="19"/>
        </w:rPr>
        <w:t xml:space="preserve">└── tests/       193 项零 GPU 单元测试</w:t>
      </w:r>
    </w:p>
    <w:p>
      <w:pPr>
        <w:pStyle w:val="Heading1"/>
        <w:spacing w:after="140" w:before="320" w:line="360"/>
      </w:pPr>
      <w:r>
        <w:rPr>
          <w:rFonts w:ascii="SimHei" w:eastAsia="SimHei"/>
          <w:b/>
          <w:bCs/>
          <w:color w:val="000000"/>
          <w:sz w:val="28"/>
          <w:szCs w:val="28"/>
        </w:rPr>
        <w:t xml:space="preserve">二、核心算法</w:t>
      </w:r>
    </w:p>
    <w:p>
      <w:pPr>
        <w:pStyle w:val="Heading2"/>
        <w:spacing w:after="100" w:before="220" w:line="360"/>
      </w:pPr>
      <w:r>
        <w:rPr>
          <w:rFonts w:ascii="SimHei" w:eastAsia="SimHei"/>
          <w:b/>
          <w:bCs/>
          <w:color w:val="000000"/>
          <w:sz w:val="24"/>
          <w:szCs w:val="24"/>
        </w:rPr>
        <w:t xml:space="preserve">2.1 闭环引擎</w:t>
      </w:r>
    </w:p>
    <w:p>
      <w:pPr>
        <w:spacing w:after="60" w:line="360"/>
        <w:ind w:firstLine="480"/>
        <w:jc w:val="both"/>
      </w:pPr>
      <w:r>
        <w:rPr>
          <w:rFonts w:ascii="SimSun" w:eastAsia="SimSun"/>
          <w:sz w:val="24"/>
          <w:szCs w:val="24"/>
        </w:rPr>
        <w:t xml:space="preserve">引擎核心是轮批四相位执行器(engine/batch_runner.py):每一轮依次进入红方驻留(批量生成全部任务的攻击动作)、被测模型驻留(批量应答)、判别器驻留(批量判定)与 CPU 相位(反馈构建、奖励、轨迹落盘、状态转移)。分时加载保证单 GPU 上同一时刻只有一个模型驻留显存。研究对象是攻击轨迹 τ = {(s, a, p, y, o, r)},每一步记录动作、回答、判定、反馈与成本,全程可回放。</w:t>
      </w:r>
    </w:p>
    <w:p>
      <w:pPr>
        <w:spacing w:after="60" w:line="360"/>
        <w:ind w:firstLine="480"/>
        <w:jc w:val="both"/>
      </w:pPr>
      <w:r>
        <w:rPr>
          <w:rFonts w:ascii="SimSun" w:eastAsia="SimSun"/>
          <w:sz w:val="24"/>
          <w:szCs w:val="24"/>
        </w:rPr>
        <w:t xml:space="preserve">三种反馈参与模式构成协议级变量:标准检测(SHADOW,判别器仅观察)、智能引导(ACTIVE,判别信号参与下一轮策略)与对比检测(两支并跑)。第 0 轮攻击 prompt 跨模式完全一致(协议不变量),保证对比公平性。</w:t>
      </w:r>
    </w:p>
    <w:p>
      <w:pPr>
        <w:spacing w:after="60" w:line="360"/>
        <w:jc w:val="both"/>
      </w:pPr>
      <w:r>
        <w:rPr>
          <w:rFonts w:ascii="SimSun" w:eastAsia="SimSun"/>
          <w:sz w:val="24"/>
          <w:szCs w:val="24"/>
        </w:rPr>
        <w:t xml:space="preserve">闭环角色栈如表 1 所示(以 RTX 4060 档为例,V100 档按配置替换更强模型)。</w:t>
      </w:r>
    </w:p>
    <w:p>
      <w:pPr>
        <w:keepNext/>
        <w:spacing w:after="80" w:before="160" w:line="360"/>
        <w:jc w:val="center"/>
      </w:pPr>
      <w:r>
        <w:rPr>
          <w:rFonts w:ascii="SimHei" w:eastAsia="SimHei"/>
          <w:b/>
          <w:bCs/>
          <w:sz w:val="21"/>
          <w:szCs w:val="21"/>
        </w:rPr>
        <w:t xml:space="preserve">表 1  闭环角色栈</w:t>
      </w:r>
    </w:p>
    <w:tbl>
      <w:tblPr>
        <w:tblW w:type="pct" w:w="5000"/>
        <w:tblBorders>
          <w:top w:val="single" w:color="000000" w:sz="12"/>
          <w:left w:val="none" w:color="FFFFFF" w:sz="0"/>
          <w:bottom w:val="single" w:color="000000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1933"/>
        <w:gridCol w:w="2636"/>
        <w:gridCol w:w="4218"/>
      </w:tblGrid>
      <w:tr>
        <w:trPr>
          <w:cantSplit/>
          <w:tblHeader/>
        </w:trPr>
        <w:tc>
          <w:tcPr>
            <w:tcW w:type="pct" w:w="1100"/>
            <w:tcBorders>
              <w:bottom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Hei" w:eastAsia="SimHei"/>
                <w:b/>
                <w:bCs/>
                <w:sz w:val="21"/>
                <w:szCs w:val="21"/>
              </w:rPr>
              <w:t xml:space="preserve">角色</w:t>
            </w:r>
          </w:p>
        </w:tc>
        <w:tc>
          <w:tcPr>
            <w:tcW w:type="pct" w:w="1500"/>
            <w:tcBorders>
              <w:bottom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Hei" w:eastAsia="SimHei"/>
                <w:b/>
                <w:bCs/>
                <w:sz w:val="21"/>
                <w:szCs w:val="21"/>
              </w:rPr>
              <w:t xml:space="preserve">模型(4060 档)</w:t>
            </w:r>
          </w:p>
        </w:tc>
        <w:tc>
          <w:tcPr>
            <w:tcW w:type="pct" w:w="2400"/>
            <w:tcBorders>
              <w:bottom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Hei" w:eastAsia="SimHei"/>
                <w:b/>
                <w:bCs/>
                <w:sz w:val="21"/>
                <w:szCs w:val="21"/>
              </w:rPr>
              <w:t xml:space="preserve">职责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红方测试员 G</w:t>
            </w:r>
          </w:p>
        </w:tc>
        <w:tc>
          <w:tcPr>
            <w:tcW w:type="pct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Qwen3-1.7B</w:t>
            </w:r>
          </w:p>
        </w:tc>
        <w:tc>
          <w:tcPr>
            <w:tcW w:type="pct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生成并逐轮调整攻击问题,解析 JSON 契约输出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被测模型 T</w:t>
            </w:r>
          </w:p>
        </w:tc>
        <w:tc>
          <w:tcPr>
            <w:tcW w:type="pct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Phi-3.5-mini(NF4)</w:t>
            </w:r>
          </w:p>
        </w:tc>
        <w:tc>
          <w:tcPr>
            <w:tcW w:type="pct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被评估对象,本地量化或在线 API 黑盒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安全判别 J</w:t>
            </w:r>
          </w:p>
        </w:tc>
        <w:tc>
          <w:tcPr>
            <w:tcW w:type="pct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Qwen3Guard-0.6B</w:t>
            </w:r>
          </w:p>
        </w:tc>
        <w:tc>
          <w:tcPr>
            <w:tcW w:type="pct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内容安全与目标推进双视角,逐轮过程观察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独立评审 E</w:t>
            </w:r>
          </w:p>
        </w:tc>
        <w:tc>
          <w:tcPr>
            <w:tcW w:type="pct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StrongREJECT-2B</w:t>
            </w:r>
          </w:p>
        </w:tc>
        <w:tc>
          <w:tcPr>
            <w:tcW w:type="pct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闭环之外,仅依据原始目标与回答做最终裁决</w:t>
            </w:r>
          </w:p>
        </w:tc>
      </w:tr>
    </w:tbl>
    <w:p>
      <w:pPr>
        <w:spacing w:after="80" w:line="240"/>
      </w:pPr>
    </w:p>
    <w:p>
      <w:pPr>
        <w:pStyle w:val="Heading2"/>
        <w:spacing w:after="100" w:before="220" w:line="360"/>
      </w:pPr>
      <w:r>
        <w:rPr>
          <w:rFonts w:ascii="SimHei" w:eastAsia="SimHei"/>
          <w:b/>
          <w:bCs/>
          <w:color w:val="000000"/>
          <w:sz w:val="24"/>
          <w:szCs w:val="24"/>
        </w:rPr>
        <w:t xml:space="preserve">2.2 关键机制与红线</w:t>
      </w:r>
    </w:p>
    <w:p>
      <w:pPr>
        <w:spacing w:after="60" w:line="360"/>
        <w:ind w:firstLine="480"/>
        <w:jc w:val="both"/>
      </w:pPr>
      <w:r>
        <w:rPr>
          <w:rFonts w:ascii="SimSun" w:eastAsia="SimSun"/>
          <w:sz w:val="24"/>
          <w:szCs w:val="24"/>
        </w:rPr>
        <w:t xml:space="preserve">独立评审永不进入在线回路(红线 1):判别信号只是过程观察,风险结论只数独立评审的最终裁决,报告与界面均以此为口径。优雅取消与断点续跑内建于引擎:取消在轮边界生效(不发起后续模型调用,已完成结果照常评估出报告),每轮原子写检查点,中断后可无损续跑。</w:t>
      </w:r>
    </w:p>
    <w:p>
      <w:pPr>
        <w:pStyle w:val="Heading2"/>
        <w:spacing w:after="100" w:before="220" w:line="360"/>
      </w:pPr>
      <w:r>
        <w:rPr>
          <w:rFonts w:ascii="SimHei" w:eastAsia="SimHei"/>
          <w:b/>
          <w:bCs/>
          <w:color w:val="000000"/>
          <w:sz w:val="24"/>
          <w:szCs w:val="24"/>
        </w:rPr>
        <w:t xml:space="preserve">2.3 v1.1 智能能力(默认关闭,独立模式)</w:t>
      </w:r>
    </w:p>
    <w:p>
      <w:pPr>
        <w:spacing w:after="60" w:line="360"/>
        <w:ind w:firstLine="480"/>
        <w:jc w:val="both"/>
      </w:pPr>
      <w:r>
        <w:rPr>
          <w:rFonts w:ascii="SimSun" w:eastAsia="SimSun"/>
          <w:sz w:val="24"/>
          <w:szCs w:val="24"/>
        </w:rPr>
        <w:t xml:space="preserve">长期攻击记忆:SQLite 独立库,按目标指纹(模型+量化方式或 API 地址+模型名)命名空间隔离,检索带多样性约束且包含失败经验,round 1 起生效以保护第 0 轮协议不变量;支持冻结快照防泄漏。在线效用估计:复用新颖度字符核,只做记忆排序信号,绝不输出攻击成功标签。自适应调度:两阶段任务选择(先全任务基础覆盖一轮,再按类别覆盖缺口追加),调度不以发现风险为唯一目标。以上能力开启后,界面提供预算进度条、终端「经验」标记与报告页智能预算摘要卡(D(Q)/Yield 口径)全程可视化。</w:t>
      </w:r>
    </w:p>
    <w:p>
      <w:pPr>
        <w:pStyle w:val="Heading1"/>
        <w:spacing w:after="140" w:before="320" w:line="360"/>
      </w:pPr>
      <w:r>
        <w:rPr>
          <w:rFonts w:ascii="SimHei" w:eastAsia="SimHei"/>
          <w:b/>
          <w:bCs/>
          <w:color w:val="000000"/>
          <w:sz w:val="28"/>
          <w:szCs w:val="28"/>
        </w:rPr>
        <w:t xml:space="preserve">三、后端架构</w:t>
      </w:r>
    </w:p>
    <w:p>
      <w:pPr>
        <w:pStyle w:val="Heading2"/>
        <w:spacing w:after="100" w:before="220" w:line="360"/>
      </w:pPr>
      <w:r>
        <w:rPr>
          <w:rFonts w:ascii="SimHei" w:eastAsia="SimHei"/>
          <w:b/>
          <w:bCs/>
          <w:color w:val="000000"/>
          <w:sz w:val="24"/>
          <w:szCs w:val="24"/>
        </w:rPr>
        <w:t xml:space="preserve">3.1 运行管理内核 RunManager</w:t>
      </w:r>
    </w:p>
    <w:p>
      <w:pPr>
        <w:spacing w:after="60" w:line="360"/>
        <w:ind w:firstLine="480"/>
        <w:jc w:val="both"/>
      </w:pPr>
      <w:r>
        <w:rPr>
          <w:rFonts w:ascii="SimSun" w:eastAsia="SimSun"/>
          <w:sz w:val="24"/>
          <w:szCs w:val="24"/>
        </w:rPr>
        <w:t xml:space="preserve">RunManager(safeloop/runs/manager.py)是三端共享的运行心脏:SQLite 五表持久化、单 GPU 串行队列、真取消、断点恢复与历史导入。大文件(轨迹/报告/存档)留在文件系统,库内只存索引与状态。agent 状态机到队列状态域有显式映射,任何中间态不会泄漏到对外状态字段。</w:t>
      </w:r>
    </w:p>
    <w:p>
      <w:pPr>
        <w:keepNext/>
        <w:spacing w:after="80" w:before="160" w:line="360"/>
        <w:jc w:val="center"/>
      </w:pPr>
      <w:r>
        <w:rPr>
          <w:rFonts w:ascii="SimHei" w:eastAsia="SimHei"/>
          <w:b/>
          <w:bCs/>
          <w:sz w:val="21"/>
          <w:szCs w:val="21"/>
        </w:rPr>
        <w:t xml:space="preserve">表 2  SQLite 数据表</w:t>
      </w:r>
    </w:p>
    <w:tbl>
      <w:tblPr>
        <w:tblW w:type="pct" w:w="5000"/>
        <w:tblBorders>
          <w:top w:val="single" w:color="000000" w:sz="12"/>
          <w:left w:val="none" w:color="FFFFFF" w:sz="0"/>
          <w:bottom w:val="single" w:color="000000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1582"/>
        <w:gridCol w:w="2109"/>
        <w:gridCol w:w="5097"/>
      </w:tblGrid>
      <w:tr>
        <w:trPr>
          <w:cantSplit/>
          <w:tblHeader/>
        </w:trPr>
        <w:tc>
          <w:tcPr>
            <w:tcW w:type="pct" w:w="900"/>
            <w:tcBorders>
              <w:bottom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Hei" w:eastAsia="SimHei"/>
                <w:b/>
                <w:bCs/>
                <w:sz w:val="21"/>
                <w:szCs w:val="21"/>
              </w:rPr>
              <w:t xml:space="preserve">表</w:t>
            </w:r>
          </w:p>
        </w:tc>
        <w:tc>
          <w:tcPr>
            <w:tcW w:type="pct" w:w="1200"/>
            <w:tcBorders>
              <w:bottom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Hei" w:eastAsia="SimHei"/>
                <w:b/>
                <w:bCs/>
                <w:sz w:val="21"/>
                <w:szCs w:val="21"/>
              </w:rPr>
              <w:t xml:space="preserve">内容</w:t>
            </w:r>
          </w:p>
        </w:tc>
        <w:tc>
          <w:tcPr>
            <w:tcW w:type="pct" w:w="2900"/>
            <w:tcBorders>
              <w:bottom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Hei" w:eastAsia="Sim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runs</w:t>
            </w:r>
          </w:p>
        </w:tc>
        <w:tc>
          <w:tcPr>
            <w:tcW w:type="pct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运行主表</w:t>
            </w:r>
          </w:p>
        </w:tc>
        <w:tc>
          <w:tcPr>
            <w:tcW w:type="pct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状态机 QUEUED/RUNNING/CANCELLING/终态,spec 与进度</w:t>
            </w:r>
          </w:p>
        </w:tc>
      </w:tr>
      <w:tr>
        <w:trPr>
          <w:cantSplit/>
        </w:trPr>
        <w:tc>
          <w:tcPr>
            <w:tcW w:type="pct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run_tasks</w:t>
            </w:r>
          </w:p>
        </w:tc>
        <w:tc>
          <w:tcPr>
            <w:tcW w:type="pct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任务进度</w:t>
            </w:r>
          </w:p>
        </w:tc>
        <w:tc>
          <w:tcPr>
            <w:tcW w:type="pct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每场景轮数完成度与触发标记</w:t>
            </w:r>
          </w:p>
        </w:tc>
      </w:tr>
      <w:tr>
        <w:trPr>
          <w:cantSplit/>
        </w:trPr>
        <w:tc>
          <w:tcPr>
            <w:tcW w:type="pct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run_events</w:t>
            </w:r>
          </w:p>
        </w:tc>
        <w:tc>
          <w:tcPr>
            <w:tcW w:type="pct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事件流</w:t>
            </w:r>
          </w:p>
        </w:tc>
        <w:tc>
          <w:tcPr>
            <w:tcW w:type="pct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递增序号,支撑 SSE 断线续传与 live 轮询</w:t>
            </w:r>
          </w:p>
        </w:tc>
      </w:tr>
      <w:tr>
        <w:trPr>
          <w:cantSplit/>
        </w:trPr>
        <w:tc>
          <w:tcPr>
            <w:tcW w:type="pct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artifacts</w:t>
            </w:r>
          </w:p>
        </w:tc>
        <w:tc>
          <w:tcPr>
            <w:tcW w:type="pct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产物索引</w:t>
            </w:r>
          </w:p>
        </w:tc>
        <w:tc>
          <w:tcPr>
            <w:tcW w:type="pct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报告/存档/导出/复核标记登记</w:t>
            </w:r>
          </w:p>
        </w:tc>
      </w:tr>
      <w:tr>
        <w:trPr>
          <w:cantSplit/>
        </w:trPr>
        <w:tc>
          <w:tcPr>
            <w:tcW w:type="pct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checkpoints</w:t>
            </w:r>
          </w:p>
        </w:tc>
        <w:tc>
          <w:tcPr>
            <w:tcW w:type="pct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检查点</w:t>
            </w:r>
          </w:p>
        </w:tc>
        <w:tc>
          <w:tcPr>
            <w:tcW w:type="pct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断点续跑位置</w:t>
            </w:r>
          </w:p>
        </w:tc>
      </w:tr>
    </w:tbl>
    <w:p>
      <w:pPr>
        <w:spacing w:after="80" w:line="240"/>
      </w:pPr>
    </w:p>
    <w:p>
      <w:pPr>
        <w:pStyle w:val="Heading2"/>
        <w:spacing w:after="100" w:before="220" w:line="360"/>
      </w:pPr>
      <w:r>
        <w:rPr>
          <w:rFonts w:ascii="SimHei" w:eastAsia="SimHei"/>
          <w:b/>
          <w:bCs/>
          <w:color w:val="000000"/>
          <w:sz w:val="24"/>
          <w:szCs w:val="24"/>
        </w:rPr>
        <w:t xml:space="preserve">3.2 FastAPI 服务</w:t>
      </w:r>
    </w:p>
    <w:p>
      <w:pPr>
        <w:spacing w:after="60" w:line="360"/>
        <w:ind w:firstLine="480"/>
        <w:jc w:val="both"/>
      </w:pPr>
      <w:r>
        <w:rPr>
          <w:rFonts w:ascii="SimSun" w:eastAsia="SimSun"/>
          <w:sz w:val="24"/>
          <w:szCs w:val="24"/>
        </w:rPr>
        <w:t xml:space="preserve">apps/api/server.py 单进程单端口(默认 127.0.0.1:8712)同时提供 REST API 与 SPA 静态托管。可选 SAFELOOP_API_KEY 环境变量启用访问鉴权(请求需带 X-API-Key 头,前端页头提供密钥设置)。核心端点如表 3。</w:t>
      </w:r>
    </w:p>
    <w:p>
      <w:pPr>
        <w:keepNext/>
        <w:spacing w:after="80" w:before="160" w:line="360"/>
        <w:jc w:val="center"/>
      </w:pPr>
      <w:r>
        <w:rPr>
          <w:rFonts w:ascii="SimHei" w:eastAsia="SimHei"/>
          <w:b/>
          <w:bCs/>
          <w:sz w:val="21"/>
          <w:szCs w:val="21"/>
        </w:rPr>
        <w:t xml:space="preserve">表 3  API 端点一览</w:t>
      </w:r>
    </w:p>
    <w:tbl>
      <w:tblPr>
        <w:tblW w:type="pct" w:w="5000"/>
        <w:tblBorders>
          <w:top w:val="single" w:color="000000" w:sz="12"/>
          <w:left w:val="none" w:color="FFFFFF" w:sz="0"/>
          <w:bottom w:val="single" w:color="000000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515"/>
        <w:gridCol w:w="1055"/>
        <w:gridCol w:w="4218"/>
      </w:tblGrid>
      <w:tr>
        <w:trPr>
          <w:cantSplit/>
          <w:tblHeader/>
        </w:trPr>
        <w:tc>
          <w:tcPr>
            <w:tcW w:type="pct" w:w="2000"/>
            <w:tcBorders>
              <w:bottom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Hei" w:eastAsia="SimHei"/>
                <w:b/>
                <w:bCs/>
                <w:sz w:val="21"/>
                <w:szCs w:val="21"/>
              </w:rPr>
              <w:t xml:space="preserve">端点</w:t>
            </w:r>
          </w:p>
        </w:tc>
        <w:tc>
          <w:tcPr>
            <w:tcW w:type="pct" w:w="600"/>
            <w:tcBorders>
              <w:bottom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Hei" w:eastAsia="SimHei"/>
                <w:b/>
                <w:bCs/>
                <w:sz w:val="21"/>
                <w:szCs w:val="21"/>
              </w:rPr>
              <w:t xml:space="preserve">方法</w:t>
            </w:r>
          </w:p>
        </w:tc>
        <w:tc>
          <w:tcPr>
            <w:tcW w:type="pct" w:w="2400"/>
            <w:tcBorders>
              <w:bottom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Hei" w:eastAsia="SimHei"/>
                <w:b/>
                <w:bCs/>
                <w:sz w:val="21"/>
                <w:szCs w:val="21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pct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/evaluations</w:t>
            </w:r>
          </w:p>
        </w:tc>
        <w:tc>
          <w:tcPr>
            <w:tcW w:type="pct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W w:type="pct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提交评估入队(统一 RunSpec,含 v1.1 字段)</w:t>
            </w:r>
          </w:p>
        </w:tc>
      </w:tr>
      <w:tr>
        <w:trPr>
          <w:cantSplit/>
        </w:trPr>
        <w:tc>
          <w:tcPr>
            <w:tcW w:type="pct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/runs</w:t>
            </w:r>
          </w:p>
        </w:tc>
        <w:tc>
          <w:tcPr>
            <w:tcW w:type="pct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pct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运行历史列表(重启不丢,含导入 run)</w:t>
            </w:r>
          </w:p>
        </w:tc>
      </w:tr>
      <w:tr>
        <w:trPr>
          <w:cantSplit/>
        </w:trPr>
        <w:tc>
          <w:tcPr>
            <w:tcW w:type="pct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/evaluations/{id}</w:t>
            </w:r>
          </w:p>
        </w:tc>
        <w:tc>
          <w:tcPr>
            <w:tcW w:type="pct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pct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运行详情(spec/进度/产物索引)</w:t>
            </w:r>
          </w:p>
        </w:tc>
      </w:tr>
      <w:tr>
        <w:trPr>
          <w:cantSplit/>
        </w:trPr>
        <w:tc>
          <w:tcPr>
            <w:tcW w:type="pct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/evaluations/{id}/live</w:t>
            </w:r>
          </w:p>
        </w:tc>
        <w:tc>
          <w:tcPr>
            <w:tcW w:type="pct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pct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实时对话流(tail 参数防长跑截断)</w:t>
            </w:r>
          </w:p>
        </w:tc>
      </w:tr>
      <w:tr>
        <w:trPr>
          <w:cantSplit/>
        </w:trPr>
        <w:tc>
          <w:tcPr>
            <w:tcW w:type="pct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/evaluations/{id}/events</w:t>
            </w:r>
          </w:p>
        </w:tc>
        <w:tc>
          <w:tcPr>
            <w:tcW w:type="pct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pct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SSE 事件流,Last-Event-ID 断线续传</w:t>
            </w:r>
          </w:p>
        </w:tc>
      </w:tr>
      <w:tr>
        <w:trPr>
          <w:cantSplit/>
        </w:trPr>
        <w:tc>
          <w:tcPr>
            <w:tcW w:type="pct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/evaluations/{id}/report|export|transcript</w:t>
            </w:r>
          </w:p>
        </w:tc>
        <w:tc>
          <w:tcPr>
            <w:tcW w:type="pct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pct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报告 JSON/打印就绪 HTML/对话存档下载</w:t>
            </w:r>
          </w:p>
        </w:tc>
      </w:tr>
      <w:tr>
        <w:trPr>
          <w:cantSplit/>
        </w:trPr>
        <w:tc>
          <w:tcPr>
            <w:tcW w:type="pct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/evaluations/{id}/cancel|resume|reviewed</w:t>
            </w:r>
          </w:p>
        </w:tc>
        <w:tc>
          <w:tcPr>
            <w:tcW w:type="pct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W w:type="pct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取消/续跑/人工复核标记</w:t>
            </w:r>
          </w:p>
        </w:tc>
      </w:tr>
      <w:tr>
        <w:trPr>
          <w:cantSplit/>
        </w:trPr>
        <w:tc>
          <w:tcPr>
            <w:tcW w:type="pct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/targets/test-connection</w:t>
            </w:r>
          </w:p>
        </w:tc>
        <w:tc>
          <w:tcPr>
            <w:tcW w:type="pct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W w:type="pct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黑盒 API 连通测试(无害 ping)</w:t>
            </w:r>
          </w:p>
        </w:tc>
      </w:tr>
      <w:tr>
        <w:trPr>
          <w:cantSplit/>
        </w:trPr>
        <w:tc>
          <w:tcPr>
            <w:tcW w:type="pct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/replay、/suite</w:t>
            </w:r>
          </w:p>
        </w:tc>
        <w:tc>
          <w:tcPr>
            <w:tcW w:type="pct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POST/GET</w:t>
            </w:r>
          </w:p>
        </w:tc>
        <w:tc>
          <w:tcPr>
            <w:tcW w:type="pct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历史回放装载、任务集行查询</w:t>
            </w:r>
          </w:p>
        </w:tc>
      </w:tr>
    </w:tbl>
    <w:p>
      <w:pPr>
        <w:pStyle w:val="Heading1"/>
        <w:spacing w:after="140" w:before="320" w:line="360"/>
      </w:pPr>
      <w:r>
        <w:rPr>
          <w:rFonts w:ascii="SimHei" w:eastAsia="SimHei"/>
          <w:b/>
          <w:bCs/>
          <w:color w:val="000000"/>
          <w:sz w:val="28"/>
          <w:szCs w:val="28"/>
        </w:rPr>
        <w:t xml:space="preserve">四、前端 GUI</w:t>
      </w:r>
    </w:p>
    <w:p>
      <w:pPr>
        <w:pStyle w:val="Heading2"/>
        <w:spacing w:after="100" w:before="220" w:line="360"/>
      </w:pPr>
      <w:r>
        <w:rPr>
          <w:rFonts w:ascii="SimHei" w:eastAsia="SimHei"/>
          <w:b/>
          <w:bCs/>
          <w:color w:val="000000"/>
          <w:sz w:val="24"/>
          <w:szCs w:val="24"/>
        </w:rPr>
        <w:t xml:space="preserve">4.1 架构与页面</w:t>
      </w:r>
    </w:p>
    <w:p>
      <w:pPr>
        <w:spacing w:after="60" w:line="360"/>
        <w:ind w:firstLine="480"/>
        <w:jc w:val="both"/>
      </w:pPr>
      <w:r>
        <w:rPr>
          <w:rFonts w:ascii="SimSun" w:eastAsia="SimSun"/>
          <w:sz w:val="24"/>
          <w:szCs w:val="24"/>
        </w:rPr>
        <w:t xml:space="preserve">前端为 Vue 3 + Vite + Element Plus + Pinia 单页应用(apps/web),无路由库,三页常驻挂载、标签切换。FastAPI 构建后直接托管 dist,单进程单端口即为完整产品;开发态经 Vite 代理到 8712。视觉体系为浅色极光底 + 玻璃拟态卡片 + 深色作战终端三语言统一,尊重系统减弱动效偏好。</w:t>
      </w:r>
    </w:p>
    <w:p>
      <w:pPr>
        <w:keepNext/>
        <w:spacing w:after="80" w:before="160" w:line="360"/>
        <w:jc w:val="center"/>
      </w:pPr>
      <w:r>
        <w:rPr>
          <w:rFonts w:ascii="SimHei" w:eastAsia="SimHei"/>
          <w:b/>
          <w:bCs/>
          <w:sz w:val="21"/>
          <w:szCs w:val="21"/>
        </w:rPr>
        <w:t xml:space="preserve">表 4  页面与核心组件</w:t>
      </w:r>
    </w:p>
    <w:tbl>
      <w:tblPr>
        <w:tblW w:type="pct" w:w="5000"/>
        <w:tblBorders>
          <w:top w:val="single" w:color="000000" w:sz="12"/>
          <w:left w:val="none" w:color="FFFFFF" w:sz="0"/>
          <w:bottom w:val="single" w:color="000000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1406"/>
        <w:gridCol w:w="3515"/>
        <w:gridCol w:w="3867"/>
      </w:tblGrid>
      <w:tr>
        <w:trPr>
          <w:cantSplit/>
          <w:tblHeader/>
        </w:trPr>
        <w:tc>
          <w:tcPr>
            <w:tcW w:type="pct" w:w="800"/>
            <w:tcBorders>
              <w:bottom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Hei" w:eastAsia="SimHei"/>
                <w:b/>
                <w:bCs/>
                <w:sz w:val="21"/>
                <w:szCs w:val="21"/>
              </w:rPr>
              <w:t xml:space="preserve">页面</w:t>
            </w:r>
          </w:p>
        </w:tc>
        <w:tc>
          <w:tcPr>
            <w:tcW w:type="pct" w:w="2000"/>
            <w:tcBorders>
              <w:bottom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Hei" w:eastAsia="SimHei"/>
                <w:b/>
                <w:bCs/>
                <w:sz w:val="21"/>
                <w:szCs w:val="21"/>
              </w:rPr>
              <w:t xml:space="preserve">组件</w:t>
            </w:r>
          </w:p>
        </w:tc>
        <w:tc>
          <w:tcPr>
            <w:tcW w:type="pct" w:w="2200"/>
            <w:tcBorders>
              <w:bottom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Hei" w:eastAsia="SimHei"/>
                <w:b/>
                <w:bCs/>
                <w:sz w:val="21"/>
                <w:szCs w:val="21"/>
              </w:rPr>
              <w:t xml:space="preserve">功能</w:t>
            </w:r>
          </w:p>
        </w:tc>
      </w:tr>
      <w:tr>
        <w:trPr>
          <w:cantSplit/>
        </w:trPr>
        <w:tc>
          <w:tcPr>
            <w:tcW w:type="pct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总览</w:t>
            </w:r>
          </w:p>
        </w:tc>
        <w:tc>
          <w:tcPr>
            <w:tcW w:type="pct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Overview/RunTerminal/DecisionTree/RiskFindings/HistoryList</w:t>
            </w:r>
          </w:p>
        </w:tc>
        <w:tc>
          <w:tcPr>
            <w:tcW w:type="pct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向导表单、实况终端、决策路径、风险 KPI、运行历史</w:t>
            </w:r>
          </w:p>
        </w:tc>
      </w:tr>
      <w:tr>
        <w:trPr>
          <w:cantSplit/>
        </w:trPr>
        <w:tc>
          <w:tcPr>
            <w:tcW w:type="pct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轨迹回放</w:t>
            </w:r>
          </w:p>
        </w:tc>
        <w:tc>
          <w:tcPr>
            <w:tcW w:type="pct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ReplayView</w:t>
            </w:r>
          </w:p>
        </w:tc>
        <w:tc>
          <w:tcPr>
            <w:tcW w:type="pct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全量轨迹列表+风险筛选,逐轮证据链与全文弹窗</w:t>
            </w:r>
          </w:p>
        </w:tc>
      </w:tr>
      <w:tr>
        <w:trPr>
          <w:cantSplit/>
        </w:trPr>
        <w:tc>
          <w:tcPr>
            <w:tcW w:type="pct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评估报告</w:t>
            </w:r>
          </w:p>
        </w:tc>
        <w:tc>
          <w:tcPr>
            <w:tcW w:type="pct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ReportView</w:t>
            </w:r>
          </w:p>
        </w:tc>
        <w:tc>
          <w:tcPr>
            <w:tcW w:type="pct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等级徽章卡、导出/存档下载、人工复核、智能预算摘要</w:t>
            </w:r>
          </w:p>
        </w:tc>
      </w:tr>
    </w:tbl>
    <w:p>
      <w:pPr>
        <w:spacing w:after="80" w:line="240"/>
      </w:pPr>
    </w:p>
    <w:p>
      <w:pPr>
        <w:pStyle w:val="Heading2"/>
        <w:spacing w:after="100" w:before="220" w:line="360"/>
      </w:pPr>
      <w:r>
        <w:rPr>
          <w:rFonts w:ascii="SimHei" w:eastAsia="SimHei"/>
          <w:b/>
          <w:bCs/>
          <w:color w:val="000000"/>
          <w:sz w:val="24"/>
          <w:szCs w:val="24"/>
        </w:rPr>
        <w:t xml:space="preserve">4.2 关键交互闭环</w:t>
      </w:r>
    </w:p>
    <w:p>
      <w:pPr>
        <w:spacing w:after="60" w:line="360"/>
        <w:ind w:firstLine="480"/>
        <w:jc w:val="both"/>
      </w:pPr>
      <w:r>
        <w:rPr>
          <w:rFonts w:ascii="SimSun" w:eastAsia="SimSun"/>
          <w:sz w:val="24"/>
          <w:szCs w:val="24"/>
        </w:rPr>
        <w:t xml:space="preserve">提交流程:向导提交 → run_id 入队 → 2 秒轮询状态与实况流 → 终态自动加载报告与轨迹;运行中可自由切页、刷新页面(经会话存储恢复轮询)、跨分支优雅取消与检查点续跑。被测对象支持本地模型与在线 API 双通道,API 配置经连接测试通过后自动保存为本机预设(密钥永不落盘,只存变量名)。实况终端提供信号点图例、超长对话全文弹窗与「经验」标记;报告页支持一键导出打印就绪 HTML(浏览器 Ctrl+P 存 PDF)。</w:t>
      </w:r>
    </w:p>
    <w:p>
      <w:pPr>
        <w:pStyle w:val="Heading1"/>
        <w:spacing w:after="140" w:before="320" w:line="360"/>
      </w:pPr>
      <w:r>
        <w:rPr>
          <w:rFonts w:ascii="SimHei" w:eastAsia="SimHei"/>
          <w:b/>
          <w:bCs/>
          <w:color w:val="000000"/>
          <w:sz w:val="28"/>
          <w:szCs w:val="28"/>
        </w:rPr>
        <w:t xml:space="preserve">五、命令行接口(CLI)</w:t>
      </w:r>
    </w:p>
    <w:p>
      <w:pPr>
        <w:spacing w:after="60" w:line="360"/>
        <w:ind w:firstLine="480"/>
        <w:jc w:val="both"/>
      </w:pPr>
      <w:r>
        <w:rPr>
          <w:rFonts w:ascii="SimSun" w:eastAsia="SimSun"/>
          <w:sz w:val="24"/>
          <w:szCs w:val="24"/>
        </w:rPr>
        <w:t xml:space="preserve">统一入口 safeloop 由 pyproject.toml 安装(pip install -e . 后可用,python -m apps.cli 等价),九个子命令覆盖全部产品动作;其中 workbench 委托给富交互终端工作台(rich 渲染:向导参数、实时对话流、彩色结果报告),其余子命令为纯 JSON 输出,便于脚本集成。</w:t>
      </w:r>
    </w:p>
    <w:p>
      <w:pPr>
        <w:keepNext/>
        <w:spacing w:after="80" w:before="160" w:line="360"/>
        <w:jc w:val="center"/>
      </w:pPr>
      <w:r>
        <w:rPr>
          <w:rFonts w:ascii="SimHei" w:eastAsia="SimHei"/>
          <w:b/>
          <w:bCs/>
          <w:sz w:val="21"/>
          <w:szCs w:val="21"/>
        </w:rPr>
        <w:t xml:space="preserve">表 5  safeloop 子命令</w:t>
      </w:r>
    </w:p>
    <w:tbl>
      <w:tblPr>
        <w:tblW w:type="pct" w:w="5000"/>
        <w:tblBorders>
          <w:top w:val="single" w:color="000000" w:sz="12"/>
          <w:left w:val="none" w:color="FFFFFF" w:sz="0"/>
          <w:bottom w:val="single" w:color="000000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2988"/>
        <w:gridCol w:w="5800"/>
      </w:tblGrid>
      <w:tr>
        <w:trPr>
          <w:cantSplit/>
          <w:tblHeader/>
        </w:trPr>
        <w:tc>
          <w:tcPr>
            <w:tcW w:type="pct" w:w="1700"/>
            <w:tcBorders>
              <w:bottom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Hei" w:eastAsia="SimHei"/>
                <w:b/>
                <w:bCs/>
                <w:sz w:val="21"/>
                <w:szCs w:val="21"/>
              </w:rPr>
              <w:t xml:space="preserve">子命令</w:t>
            </w:r>
          </w:p>
        </w:tc>
        <w:tc>
          <w:tcPr>
            <w:tcW w:type="pct" w:w="3300"/>
            <w:tcBorders>
              <w:bottom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Hei" w:eastAsia="SimHei"/>
                <w:b/>
                <w:bCs/>
                <w:sz w:val="21"/>
                <w:szCs w:val="21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serve</w:t>
            </w:r>
          </w:p>
        </w:tc>
        <w:tc>
          <w:tcPr>
            <w:tcW w:type="pct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启动 Web 工作台(SPA+API 单进程,--host/--port 可选)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workbench</w:t>
            </w:r>
          </w:p>
        </w:tc>
        <w:tc>
          <w:tcPr>
            <w:tcW w:type="pct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终端向导工作台,参数透传(rich 交互)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evaluate / compare</w:t>
            </w:r>
          </w:p>
        </w:tc>
        <w:tc>
          <w:tcPr>
            <w:tcW w:type="pct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标准/对比评估(纯 JSON 输出)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api-eval</w:t>
            </w:r>
          </w:p>
        </w:tc>
        <w:tc>
          <w:tcPr>
            <w:tcW w:type="pct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黑盒 API 模型评估(可先 --test-connection)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report</w:t>
            </w:r>
          </w:p>
        </w:tc>
        <w:tc>
          <w:tcPr>
            <w:tcW w:type="pct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重渲染已存报告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test-connection</w:t>
            </w:r>
          </w:p>
        </w:tc>
        <w:tc>
          <w:tcPr>
            <w:tcW w:type="pct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黑盒 API 连通测试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history / resume / export</w:t>
            </w:r>
          </w:p>
        </w:tc>
        <w:tc>
          <w:tcPr>
            <w:tcW w:type="pct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运行历史/续跑/导出(workbench 侧同名)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cleanup</w:t>
            </w:r>
          </w:p>
        </w:tc>
        <w:tc>
          <w:tcPr>
            <w:tcW w:type="pct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清理 N 天前的非完成 run 记录(产物文件保留)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review</w:t>
            </w:r>
          </w:p>
        </w:tc>
        <w:tc>
          <w:tcPr>
            <w:tcW w:type="pct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  <w:jc w:val="left"/>
            </w:pPr>
            <w:r>
              <w:rPr>
                <w:rFonts w:ascii="SimSun" w:eastAsia="SimSun"/>
                <w:b w:val="false"/>
                <w:bCs w:val="false"/>
                <w:sz w:val="21"/>
                <w:szCs w:val="21"/>
              </w:rPr>
              <w:t xml:space="preserve">高风险人工复核标记(--off 取消)</w:t>
            </w:r>
          </w:p>
        </w:tc>
      </w:tr>
    </w:tbl>
    <w:p>
      <w:pPr>
        <w:pStyle w:val="Heading1"/>
        <w:spacing w:after="140" w:before="320" w:line="360"/>
      </w:pPr>
      <w:r>
        <w:rPr>
          <w:rFonts w:ascii="SimHei" w:eastAsia="SimHei"/>
          <w:b/>
          <w:bCs/>
          <w:color w:val="000000"/>
          <w:sz w:val="28"/>
          <w:szCs w:val="28"/>
        </w:rPr>
        <w:t xml:space="preserve">六、启动流程</w:t>
      </w:r>
    </w:p>
    <w:p>
      <w:pPr>
        <w:pStyle w:val="Heading2"/>
        <w:spacing w:after="100" w:before="220" w:line="360"/>
      </w:pPr>
      <w:r>
        <w:rPr>
          <w:rFonts w:ascii="SimHei" w:eastAsia="SimHei"/>
          <w:b/>
          <w:bCs/>
          <w:color w:val="000000"/>
          <w:sz w:val="24"/>
          <w:szCs w:val="24"/>
        </w:rPr>
        <w:t xml:space="preserve">6.1 环境准备(一次性)</w:t>
      </w:r>
    </w:p>
    <w:p>
      <w:pPr>
        <w:spacing w:after="60" w:line="360"/>
        <w:jc w:val="both"/>
      </w:pPr>
      <w:r>
        <w:rPr>
          <w:rFonts w:ascii="SimSun" w:eastAsia="SimSun"/>
          <w:sz w:val="24"/>
          <w:szCs w:val="24"/>
        </w:rPr>
        <w:t xml:space="preserve">源码方式(完整能力,含本地模型评估)在 WSL/Ubuntu 内执行:</w:t>
      </w:r>
    </w:p>
    <w:p>
      <w:pPr>
        <w:shd w:fill="F4F6F8" w:val="clear"/>
        <w:spacing w:after="0" w:before="80" w:line="280"/>
        <w:ind w:left="240"/>
        <w:jc w:val="left"/>
      </w:pPr>
      <w:r>
        <w:rPr>
          <w:rFonts w:ascii="Consolas" w:eastAsia="SimSun"/>
          <w:color w:val="6E7B8B"/>
          <w:sz w:val="19"/>
          <w:szCs w:val="19"/>
        </w:rPr>
        <w:t xml:space="preserve"># 激活 conda 环境(Python 3.10,含 transformers 等 GPU 依赖)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000000"/>
          <w:sz w:val="19"/>
          <w:szCs w:val="19"/>
        </w:rPr>
        <w:t xml:space="preserve">conda activate safeLoop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6E7B8B"/>
          <w:sz w:val="19"/>
          <w:szCs w:val="19"/>
        </w:rPr>
        <w:t xml:space="preserve"># 进入仓库根目录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000000"/>
          <w:sz w:val="19"/>
          <w:szCs w:val="19"/>
        </w:rPr>
        <w:t xml:space="preserve">cd ~/workspace/SafeLoop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6E7B8B"/>
          <w:sz w:val="19"/>
          <w:szCs w:val="19"/>
        </w:rPr>
        <w:t xml:space="preserve"># 安装 safeloop 统一命令(核心依赖 pyyaml/rich/fastapi/uvicorn)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000000"/>
          <w:sz w:val="19"/>
          <w:szCs w:val="19"/>
        </w:rPr>
        <w:t xml:space="preserve">pip install -e . --no-build-isolation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6E7B8B"/>
          <w:sz w:val="19"/>
          <w:szCs w:val="19"/>
        </w:rPr>
        <w:t xml:space="preserve"># 权重下载(仅本地模型评估需要;黑盒 API 模式可跳过,完整清单见 setup_env.md)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000000"/>
          <w:sz w:val="19"/>
          <w:szCs w:val="19"/>
        </w:rPr>
        <w:t xml:space="preserve">hf download Qwen/Qwen3-1.7B --local-dir weights/red/Qwen3-1.7B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000000"/>
          <w:sz w:val="19"/>
          <w:szCs w:val="19"/>
        </w:rPr>
        <w:t xml:space="preserve">hf download microsoft/Phi-3.5-mini-instruct --local-dir weights/target/Phi-3.5-mini-instruct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000000"/>
          <w:sz w:val="19"/>
          <w:szCs w:val="19"/>
        </w:rPr>
        <w:t xml:space="preserve">hf download Qwen/Qwen3Guard-Gen-0.6B --local-dir weights/judge/Qwen3Guard-Gen-0.6B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000000"/>
          <w:sz w:val="19"/>
          <w:szCs w:val="19"/>
        </w:rPr>
        <w:t xml:space="preserve">hf download qylu4156/strongreject-15k-v1 --local-dir weights/evaluator/strongreject-gemma-2b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6E7B8B"/>
          <w:sz w:val="19"/>
          <w:szCs w:val="19"/>
        </w:rPr>
        <w:t xml:space="preserve"># 权重就位后校验</w:t>
      </w:r>
    </w:p>
    <w:p>
      <w:pPr>
        <w:shd w:fill="F4F6F8" w:val="clear"/>
        <w:spacing w:after="120" w:before="0" w:line="280"/>
        <w:ind w:left="240"/>
        <w:jc w:val="left"/>
      </w:pPr>
      <w:r>
        <w:rPr>
          <w:rFonts w:ascii="Consolas" w:eastAsia="SimSun"/>
          <w:color w:val="000000"/>
          <w:sz w:val="19"/>
          <w:szCs w:val="19"/>
        </w:rPr>
        <w:t xml:space="preserve">python scripts/check_weights.py</w:t>
      </w:r>
    </w:p>
    <w:p>
      <w:pPr>
        <w:spacing w:after="60" w:line="360"/>
        <w:ind w:firstLine="480"/>
        <w:jc w:val="both"/>
      </w:pPr>
      <w:r>
        <w:rPr>
          <w:rFonts w:ascii="SimSun" w:eastAsia="SimSun"/>
          <w:sz w:val="24"/>
          <w:szCs w:val="24"/>
        </w:rPr>
        <w:t xml:space="preserve">纯服务演示(无 GPU)可跳过 conda 与权重,直接使用 Docker 方式(见 6.4)。</w:t>
      </w:r>
    </w:p>
    <w:p>
      <w:pPr>
        <w:pStyle w:val="Heading2"/>
        <w:spacing w:after="100" w:before="220" w:line="360"/>
      </w:pPr>
      <w:r>
        <w:rPr>
          <w:rFonts w:ascii="SimHei" w:eastAsia="SimHei"/>
          <w:b/>
          <w:bCs/>
          <w:color w:val="000000"/>
          <w:sz w:val="24"/>
          <w:szCs w:val="24"/>
        </w:rPr>
        <w:t xml:space="preserve">6.2 启动 Web 工作台(后端+前端单进程)</w:t>
      </w:r>
    </w:p>
    <w:p>
      <w:pPr>
        <w:shd w:fill="F4F6F8" w:val="clear"/>
        <w:spacing w:after="0" w:before="80" w:line="280"/>
        <w:ind w:left="240"/>
        <w:jc w:val="left"/>
      </w:pPr>
      <w:r>
        <w:rPr>
          <w:rFonts w:ascii="Consolas" w:eastAsia="SimSun"/>
          <w:color w:val="6E7B8B"/>
          <w:sz w:val="19"/>
          <w:szCs w:val="19"/>
        </w:rPr>
        <w:t xml:space="preserve"># 推荐方式:统一命令启动,浏览器打开 http://127.0.0.1:8712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000000"/>
          <w:sz w:val="19"/>
          <w:szCs w:val="19"/>
        </w:rPr>
        <w:t xml:space="preserve">safeloop serve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6E7B8B"/>
          <w:sz w:val="19"/>
          <w:szCs w:val="19"/>
        </w:rPr>
        <w:t xml:space="preserve"># 或等价的显式 uvicorn 方式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000000"/>
          <w:sz w:val="19"/>
          <w:szCs w:val="19"/>
        </w:rPr>
        <w:t xml:space="preserve">PYTHONPATH=. python -m uvicorn apps.api.server:app --host 127.0.0.1 --port 8712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6E7B8B"/>
          <w:sz w:val="19"/>
          <w:szCs w:val="19"/>
        </w:rPr>
        <w:t xml:space="preserve"># 可选鉴权:先设环境变量再启动,网页页头钥匙按钮填同一密钥</w:t>
      </w:r>
    </w:p>
    <w:p>
      <w:pPr>
        <w:shd w:fill="F4F6F8" w:val="clear"/>
        <w:spacing w:after="120" w:before="0" w:line="280"/>
        <w:ind w:left="240"/>
        <w:jc w:val="left"/>
      </w:pPr>
      <w:r>
        <w:rPr>
          <w:rFonts w:ascii="Consolas" w:eastAsia="SimSun"/>
          <w:color w:val="000000"/>
          <w:sz w:val="19"/>
          <w:szCs w:val="19"/>
        </w:rPr>
        <w:t xml:space="preserve">export SAFELOOP_API_KEY=...</w:t>
      </w:r>
    </w:p>
    <w:p>
      <w:pPr>
        <w:spacing w:after="60" w:line="360"/>
        <w:ind w:firstLine="480"/>
        <w:jc w:val="both"/>
      </w:pPr>
      <w:r>
        <w:rPr>
          <w:rFonts w:ascii="SimSun" w:eastAsia="SimSun"/>
          <w:sz w:val="24"/>
          <w:szCs w:val="24"/>
        </w:rPr>
        <w:t xml:space="preserve">浏览器打开 http://127.0.0.1:8712 即为完整产品(SPA 与 API 同源)。首次体验可点「载入示例数据」秒级查看 1B-R 预跑数据的报告与回放;真实评估在向导中选择被测对象(本地模型或在线 API)、范围与轮数后提交,运行期间可自由浏览与刷新,结束自动生成报告,可导出 HTML 与对话存档。</w:t>
      </w:r>
    </w:p>
    <w:p>
      <w:pPr>
        <w:pStyle w:val="Heading2"/>
        <w:spacing w:after="100" w:before="220" w:line="360"/>
      </w:pPr>
      <w:r>
        <w:rPr>
          <w:rFonts w:ascii="SimHei" w:eastAsia="SimHei"/>
          <w:b/>
          <w:bCs/>
          <w:color w:val="000000"/>
          <w:sz w:val="24"/>
          <w:szCs w:val="24"/>
        </w:rPr>
        <w:t xml:space="preserve">6.3 CLI 使用示例</w:t>
      </w:r>
    </w:p>
    <w:p>
      <w:pPr>
        <w:shd w:fill="F4F6F8" w:val="clear"/>
        <w:spacing w:after="0" w:before="80" w:line="280"/>
        <w:ind w:left="240"/>
        <w:jc w:val="left"/>
      </w:pPr>
      <w:r>
        <w:rPr>
          <w:rFonts w:ascii="Consolas" w:eastAsia="SimSun"/>
          <w:color w:val="6E7B8B"/>
          <w:sz w:val="19"/>
          <w:szCs w:val="19"/>
        </w:rPr>
        <w:t xml:space="preserve"># 终端向导:目标 → 范围 → 模式 → 轮数,交互式逐步选择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000000"/>
          <w:sz w:val="19"/>
          <w:szCs w:val="19"/>
        </w:rPr>
        <w:t xml:space="preserve">safeloop workbench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6E7B8B"/>
          <w:sz w:val="19"/>
          <w:szCs w:val="19"/>
        </w:rPr>
        <w:t xml:space="preserve"># 快速抽样检测:3 个场景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000000"/>
          <w:sz w:val="19"/>
          <w:szCs w:val="19"/>
        </w:rPr>
        <w:t xml:space="preserve">safeloop workbench --mode standard -n 3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6E7B8B"/>
          <w:sz w:val="19"/>
          <w:szCs w:val="19"/>
        </w:rPr>
        <w:t xml:space="preserve"># 黑盒 API 评估:密钥只经环境变量,绝不落盘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000000"/>
          <w:sz w:val="19"/>
          <w:szCs w:val="19"/>
        </w:rPr>
        <w:t xml:space="preserve">export TARGET_API_KEY=sk-...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000000"/>
          <w:sz w:val="19"/>
          <w:szCs w:val="19"/>
        </w:rPr>
        <w:t xml:space="preserve">safeloop workbench --base-url https://api.deepseek.com/v1 --model deepseek-flash -n 3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6E7B8B"/>
          <w:sz w:val="19"/>
          <w:szCs w:val="19"/>
        </w:rPr>
        <w:t xml:space="preserve"># 中文检测(国标五域 108 场景)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000000"/>
          <w:sz w:val="19"/>
          <w:szCs w:val="19"/>
        </w:rPr>
        <w:t xml:space="preserve">safeloop workbench --suite safeloop_cn -n 5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6E7B8B"/>
          <w:sz w:val="19"/>
          <w:szCs w:val="19"/>
        </w:rPr>
        <w:t xml:space="preserve"># v1.1 实验能力:长期记忆(round 1+ 生效)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000000"/>
          <w:sz w:val="19"/>
          <w:szCs w:val="19"/>
        </w:rPr>
        <w:t xml:space="preserve">safeloop workbench -n 5 --use-memory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6E7B8B"/>
          <w:sz w:val="19"/>
          <w:szCs w:val="19"/>
        </w:rPr>
        <w:t xml:space="preserve"># v1.1 实验能力:智能预算模式(总预算 30 次调用)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000000"/>
          <w:sz w:val="19"/>
          <w:szCs w:val="19"/>
        </w:rPr>
        <w:t xml:space="preserve">safeloop workbench -n 10 --adaptive-budget 30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6E7B8B"/>
          <w:sz w:val="19"/>
          <w:szCs w:val="19"/>
        </w:rPr>
        <w:t xml:space="preserve"># 运行管理:历史 / 续跑 / 导出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000000"/>
          <w:sz w:val="19"/>
          <w:szCs w:val="19"/>
        </w:rPr>
        <w:t xml:space="preserve">safeloop history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000000"/>
          <w:sz w:val="19"/>
          <w:szCs w:val="19"/>
        </w:rPr>
        <w:t xml:space="preserve">safeloop resume run_xxx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000000"/>
          <w:sz w:val="19"/>
          <w:szCs w:val="19"/>
        </w:rPr>
        <w:t xml:space="preserve">safeloop export run_xxx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6E7B8B"/>
          <w:sz w:val="19"/>
          <w:szCs w:val="19"/>
        </w:rPr>
        <w:t xml:space="preserve"># 运行库维护:清理 30 天前的非完成 run 记录(产物文件保留)</w:t>
      </w:r>
    </w:p>
    <w:p>
      <w:pPr>
        <w:shd w:fill="F4F6F8" w:val="clear"/>
        <w:spacing w:after="120" w:before="0" w:line="280"/>
        <w:ind w:left="240"/>
        <w:jc w:val="left"/>
      </w:pPr>
      <w:r>
        <w:rPr>
          <w:rFonts w:ascii="Consolas" w:eastAsia="SimSun"/>
          <w:color w:val="000000"/>
          <w:sz w:val="19"/>
          <w:szCs w:val="19"/>
        </w:rPr>
        <w:t xml:space="preserve">safeloop cleanup --days 30</w:t>
      </w:r>
    </w:p>
    <w:p>
      <w:pPr>
        <w:pStyle w:val="Heading2"/>
        <w:spacing w:after="100" w:before="220" w:line="360"/>
      </w:pPr>
      <w:r>
        <w:rPr>
          <w:rFonts w:ascii="SimHei" w:eastAsia="SimHei"/>
          <w:b/>
          <w:bCs/>
          <w:color w:val="000000"/>
          <w:sz w:val="24"/>
          <w:szCs w:val="24"/>
        </w:rPr>
        <w:t xml:space="preserve">6.4 Docker 方式(轻量服务版,零 GPU)</w:t>
      </w:r>
    </w:p>
    <w:p>
      <w:pPr>
        <w:shd w:fill="F4F6F8" w:val="clear"/>
        <w:spacing w:after="0" w:before="80" w:line="280"/>
        <w:ind w:left="240"/>
        <w:jc w:val="left"/>
      </w:pPr>
      <w:r>
        <w:rPr>
          <w:rFonts w:ascii="Consolas" w:eastAsia="SimSun"/>
          <w:color w:val="6E7B8B"/>
          <w:sz w:val="19"/>
          <w:szCs w:val="19"/>
        </w:rPr>
        <w:t xml:space="preserve"># 构建并启动,浏览器打开 http://127.0.0.1:8712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000000"/>
          <w:sz w:val="19"/>
          <w:szCs w:val="19"/>
        </w:rPr>
        <w:t xml:space="preserve">docker compose up -d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6E7B8B"/>
          <w:sz w:val="19"/>
          <w:szCs w:val="19"/>
        </w:rPr>
        <w:t xml:space="preserve"># 停止(outputs 数据在 named volume 中保留)</w:t>
      </w:r>
    </w:p>
    <w:p>
      <w:pPr>
        <w:shd w:fill="F4F6F8" w:val="clear"/>
        <w:spacing w:after="120" w:before="0" w:line="280"/>
        <w:ind w:left="240"/>
        <w:jc w:val="left"/>
      </w:pPr>
      <w:r>
        <w:rPr>
          <w:rFonts w:ascii="Consolas" w:eastAsia="SimSun"/>
          <w:color w:val="000000"/>
          <w:sz w:val="19"/>
          <w:szCs w:val="19"/>
        </w:rPr>
        <w:t xml:space="preserve">docker compose down</w:t>
      </w:r>
    </w:p>
    <w:p>
      <w:pPr>
        <w:spacing w:after="60" w:line="360"/>
        <w:ind w:firstLine="480"/>
        <w:jc w:val="both"/>
      </w:pPr>
      <w:r>
        <w:rPr>
          <w:rFonts w:ascii="SimSun" w:eastAsia="SimSun"/>
          <w:sz w:val="24"/>
          <w:szCs w:val="24"/>
        </w:rPr>
        <w:t xml:space="preserve">镜像含工作台、API 与演示回放数据,适合演示、报告查看与历史管理;本地模型评估(加载红方/判别/评审权重)需源码方式部署。</w:t>
      </w:r>
    </w:p>
    <w:p>
      <w:pPr>
        <w:pStyle w:val="Heading2"/>
        <w:spacing w:after="100" w:before="220" w:line="360"/>
      </w:pPr>
      <w:r>
        <w:rPr>
          <w:rFonts w:ascii="SimHei" w:eastAsia="SimHei"/>
          <w:b/>
          <w:bCs/>
          <w:color w:val="000000"/>
          <w:sz w:val="24"/>
          <w:szCs w:val="24"/>
        </w:rPr>
        <w:t xml:space="preserve">6.5 前端开发与冒烟测试</w:t>
      </w:r>
    </w:p>
    <w:p>
      <w:pPr>
        <w:shd w:fill="F4F6F8" w:val="clear"/>
        <w:spacing w:after="0" w:before="80" w:line="280"/>
        <w:ind w:left="240"/>
        <w:jc w:val="left"/>
      </w:pPr>
      <w:r>
        <w:rPr>
          <w:rFonts w:ascii="Consolas" w:eastAsia="SimSun"/>
          <w:color w:val="6E7B8B"/>
          <w:sz w:val="19"/>
          <w:szCs w:val="19"/>
        </w:rPr>
        <w:t xml:space="preserve"># 修改前端源码后重新构建 dist(构建在 WSL 内执行)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000000"/>
          <w:sz w:val="19"/>
          <w:szCs w:val="19"/>
        </w:rPr>
        <w:t xml:space="preserve">cd apps/web &amp;&amp; npm run build</w:t>
      </w:r>
    </w:p>
    <w:p>
      <w:pPr>
        <w:shd w:fill="F4F6F8" w:val="clear"/>
        <w:spacing w:after="0" w:before="0" w:line="280"/>
        <w:ind w:left="240"/>
        <w:jc w:val="left"/>
      </w:pPr>
      <w:r>
        <w:rPr>
          <w:rFonts w:ascii="Consolas" w:eastAsia="SimSun"/>
          <w:color w:val="6E7B8B"/>
          <w:sz w:val="19"/>
          <w:szCs w:val="19"/>
        </w:rPr>
        <w:t xml:space="preserve"># 前端冒烟:需 Web 服务已启动;Windows 侧一次性准备 playwright 外部目录(见 setup_env.md)</w:t>
      </w:r>
    </w:p>
    <w:p>
      <w:pPr>
        <w:shd w:fill="F4F6F8" w:val="clear"/>
        <w:spacing w:after="120" w:before="0" w:line="280"/>
        <w:ind w:left="240"/>
        <w:jc w:val="left"/>
      </w:pPr>
      <w:r>
        <w:rPr>
          <w:rFonts w:ascii="Consolas" w:eastAsia="SimSun"/>
          <w:color w:val="000000"/>
          <w:sz w:val="19"/>
          <w:szCs w:val="19"/>
        </w:rPr>
        <w:t xml:space="preserve">PLAYWRIGHT_PKG=D:/ZcodeData/safeloop-smoke/package.json npm run smoke</w:t>
      </w:r>
    </w:p>
    <w:p>
      <w:pPr>
        <w:pStyle w:val="Heading1"/>
        <w:spacing w:after="140" w:before="320" w:line="360"/>
      </w:pPr>
      <w:r>
        <w:rPr>
          <w:rFonts w:ascii="SimHei" w:eastAsia="SimHei"/>
          <w:b/>
          <w:bCs/>
          <w:color w:val="000000"/>
          <w:sz w:val="28"/>
          <w:szCs w:val="28"/>
        </w:rPr>
        <w:t xml:space="preserve">七、测试与质量保证</w:t>
      </w:r>
    </w:p>
    <w:p>
      <w:pPr>
        <w:spacing w:after="60" w:line="360"/>
        <w:ind w:firstLine="480"/>
        <w:jc w:val="both"/>
      </w:pPr>
      <w:r>
        <w:rPr>
          <w:rFonts w:ascii="SimSun" w:eastAsia="SimSun"/>
          <w:sz w:val="24"/>
          <w:szCs w:val="24"/>
        </w:rPr>
        <w:t xml:space="preserve">质量体系为两层:193 项零 GPU 单元测试(协议/解析/指标/运行库/端点等,python -m unittest discover -s tests)与 11 项前端冒烟(Playwright 驱动真实浏览器,覆盖首页渲染、示例数据、报告页、回放筛选与全文弹窗,失败自动截图)。任何后端或前端改动后分别运行对应套件,全绿后再提交;工程红线(凭据永不落盘、判别信号不冒充结论、标准模式语义冻结)由测试与代码评审双重保证。</w:t>
      </w:r>
    </w:p>
    <w:sectPr>
      <w:footerReference w:type="default" r:id="rId6"/>
      <w:pgSz w:w="11906" w:h="16838" w:orient="portrait"/>
      <w:pgMar w:top="1417" w:right="1417" w:bottom="1417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eastAsia="SimSu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eastAsia="SimSun"/>
        <w:color w:val="000000"/>
        <w:sz w:val="24"/>
        <w:szCs w:val="24"/>
      </w:rPr>
    </w:rPrDefault>
    <w:pPrDefault>
      <w:pPr>
        <w:spacing w:line="36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 w:line="360"/>
    </w:pPr>
    <w:rPr>
      <w:rFonts w:ascii="SimHei" w:eastAsia="Sim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 w:line="360"/>
    </w:pPr>
    <w:rPr>
      <w:rFonts w:ascii="SimHei" w:eastAsia="SimHei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2026-10-13T09:16:02.545Z</dcterms:created>
  <dcterms:modified xsi:type="dcterms:W3CDTF">2026-10-13T09:16:02.547Z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