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360"/>
        <w:jc w:val="center"/>
      </w:pPr>
      <w:r>
        <w:rPr>
          <w:rFonts w:ascii="SimHei" w:eastAsia="SimHei"/>
          <w:b/>
          <w:bCs/>
          <w:sz w:val="30"/>
          <w:szCs w:val="30"/>
        </w:rPr>
        <w:t xml:space="preserve">SafeLoop 开发文档</w:t>
      </w:r>
    </w:p>
    <w:p>
      <w:pPr>
        <w:spacing w:after="240" w:line="360"/>
        <w:jc w:val="center"/>
      </w:pPr>
      <w:r>
        <w:rPr>
          <w:rFonts w:ascii="SimSun" w:eastAsia="SimSun"/>
          <w:color w:val="444444"/>
          <w:sz w:val="24"/>
          <w:szCs w:val="24"/>
        </w:rPr>
        <w:t xml:space="preserve">基于判别反馈与协同进化的大语言模型闭环安全评估工作台 ｜ v1.1 ｜ 2026 年 10 月</w:t>
      </w:r>
    </w:p>
    <w:p>
      <w:pPr>
        <w:pStyle w:val="Heading1"/>
        <w:spacing w:after="140" w:before="320" w:line="360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一、项目概述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SafeLoop 是一个单机部署的大语言模型安全评估工作台,以「多智能体闭环红队 + 独立评审」为核心机制:红方测试员对被测模型进行多轮自适应提问,安全判别器逐轮观察,独立评审官在闭环之外做最终裁决并出具人话报告。产品面向三类入口——网页工作台(零门槛)、终端工作台(向导式)与统一命令行(脚本友好),三者共享同一运行管理内核,支持本地模型与在线黑盒 API 两种被测对象。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技术栈:核心引擎与后端为 Python(3.8+ 兼容),Web 服务采用 FastAPI + uvicorn 单进程承载 REST API 与前端静态资源;前端为 Vue 3 + Element Plus + Pinia 单页应用(dist 产物入库,免构建运行);持久化使用 SQLite(运行库)与文件系统(轨迹/报告/存档);本地模型推理基于 transformers,支持 NF4 量化与分时加载。</w:t>
      </w:r>
    </w:p>
    <w:p>
      <w:pPr>
        <w:spacing w:after="60" w:line="360"/>
        <w:jc w:val="both"/>
      </w:pPr>
      <w:r>
        <w:rPr>
          <w:rFonts w:ascii="SimSun" w:eastAsia="SimSun"/>
          <w:sz w:val="24"/>
          <w:szCs w:val="24"/>
        </w:rPr>
        <w:t xml:space="preserve">仓库主要目录结构如下:</w:t>
      </w:r>
    </w:p>
    <w:p>
      <w:pPr>
        <w:shd w:fill="F4F6F8" w:val="clear"/>
        <w:spacing w:after="0" w:before="8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SafeLoop/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core/        协议、schema、协调器、奖励(冻结层)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engine/      batch_runner 四相位执行器、检查点、工厂、成本核算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agents/      红方、判别器(Qwen3Guard)、目标推进判别等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targets/     被测端:本地 HF(NF4)/脚本/黑盒 API 三通道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evaluation/  独立评审 StrongREJECT、指标、统计检验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safeloop/    产品层:main_agent 总控、RunManager、skills(报告/存档/记忆/调度)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apps/        web(Vue3 SPA)/ api(FastAPI)/ cli(命令行与终端工作台)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data/        任务集:jbb100(英文)与 safeloop_cn(中文,国标五域)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├── outputs/     运行产物:报告、轨迹、检查点、运行库</w:t>
      </w:r>
    </w:p>
    <w:p>
      <w:pPr>
        <w:shd w:fill="F4F6F8" w:val="clear"/>
        <w:spacing w:after="12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└── tests/       193 项零 GPU 单元测试</w:t>
      </w:r>
    </w:p>
    <w:p>
      <w:pPr>
        <w:pStyle w:val="Heading1"/>
        <w:spacing w:after="140" w:before="320" w:line="360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二、核心算法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2.1 闭环引擎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引擎核心是轮批四相位执行器(engine/batch_runner.py):每一轮依次进入红方驻留(批量生成全部任务的攻击动作)、被测模型驻留(批量应答)、判别器驻留(批量判定)与 CPU 相位(反馈构建、奖励、轨迹落盘、状态转移)。分时加载保证单 GPU 上同一时刻只有一个模型驻留显存。研究对象是攻击轨迹 τ = {(s, a, p, y, o, r)},每一步记录动作、回答、判定、反馈与成本,全程可回放。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三种反馈参与模式构成协议级变量:标准检测(SHADOW,判别器仅观察)、智能引导(ACTIVE,判别信号参与下一轮策略)与对比检测(两支并跑)。第 0 轮攻击 prompt 跨模式完全一致(协议不变量),保证对比公平性。</w:t>
      </w:r>
    </w:p>
    <w:p>
      <w:pPr>
        <w:spacing w:after="60" w:line="360"/>
        <w:jc w:val="both"/>
      </w:pPr>
      <w:r>
        <w:rPr>
          <w:rFonts w:ascii="SimSun" w:eastAsia="SimSun"/>
          <w:sz w:val="24"/>
          <w:szCs w:val="24"/>
        </w:rPr>
        <w:t xml:space="preserve">闭环角色栈如表 1 所示(以 RTX 4060 档为例,V100 档按配置替换更强模型)。</w:t>
      </w:r>
    </w:p>
    <w:p>
      <w:pPr>
        <w:keepNext/>
        <w:spacing w:after="80" w:before="160" w:line="360"/>
        <w:jc w:val="center"/>
      </w:pPr>
      <w:r>
        <w:rPr>
          <w:rFonts w:ascii="SimHei" w:eastAsia="SimHei"/>
          <w:b/>
          <w:bCs/>
          <w:sz w:val="21"/>
          <w:szCs w:val="21"/>
        </w:rPr>
        <w:t xml:space="preserve">表 1  闭环角色栈</w:t>
      </w:r>
    </w:p>
    <w:tbl>
      <w:tblPr>
        <w:tblW w:type="pct" w:w="50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933"/>
        <w:gridCol w:w="2636"/>
        <w:gridCol w:w="4218"/>
      </w:tblGrid>
      <w:tr>
        <w:trPr>
          <w:cantSplit/>
          <w:tblHeader/>
        </w:trPr>
        <w:tc>
          <w:tcPr>
            <w:tcW w:type="pct" w:w="11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pct" w:w="15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模型(4060 档)</w:t>
            </w:r>
          </w:p>
        </w:tc>
        <w:tc>
          <w:tcPr>
            <w:tcW w:type="pct" w:w="24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红方测试员 G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Qwen3-1.7B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生成并逐轮调整攻击问题,解析 JSON 契约输出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被测模型 T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Phi-3.5-mini(NF4)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被评估对象,本地量化或在线 API 黑盒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安全判别 J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Qwen3Guard-0.6B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内容安全与目标推进双视角,逐轮过程观察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独立评审 E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StrongREJECT-2B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闭环之外,仅依据原始目标与回答做最终裁决</w:t>
            </w:r>
          </w:p>
        </w:tc>
      </w:tr>
    </w:tbl>
    <w:p>
      <w:pPr>
        <w:spacing w:after="80" w:line="240"/>
      </w:pP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2.2 关键机制与红线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独立评审永不进入在线回路(红线 1):判别信号只是过程观察,风险结论只数独立评审的最终裁决,报告与界面均以此为口径。优雅取消与断点续跑内建于引擎:取消在轮边界生效(不发起后续模型调用,已完成结果照常评估出报告),每轮原子写检查点,中断后可无损续跑。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2.3 v1.1 智能能力(默认关闭,独立模式)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长期攻击记忆:SQLite 独立库,按目标指纹(模型+量化方式或 API 地址+模型名)命名空间隔离,检索带多样性约束且包含失败经验,round 1 起生效以保护第 0 轮协议不变量;支持冻结快照防泄漏。在线效用估计:复用新颖度字符核,只做记忆排序信号,绝不输出攻击成功标签。自适应调度:两阶段任务选择(先全任务基础覆盖一轮,再按类别覆盖缺口追加),调度不以发现风险为唯一目标。以上能力开启后,界面提供预算进度条、终端「经验」标记与报告页智能预算摘要卡(D(Q)/Yield 口径)全程可视化。</w:t>
      </w:r>
    </w:p>
    <w:p>
      <w:pPr>
        <w:pStyle w:val="Heading1"/>
        <w:spacing w:after="140" w:before="320" w:line="360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三、后端架构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3.1 运行管理内核 RunManager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RunManager(safeloop/runs/manager.py)是三端共享的运行心脏:SQLite 五表持久化、单 GPU 串行队列、真取消、断点恢复与历史导入。大文件(轨迹/报告/存档)留在文件系统,库内只存索引与状态。agent 状态机到队列状态域有显式映射,任何中间态不会泄漏到对外状态字段。</w:t>
      </w:r>
    </w:p>
    <w:p>
      <w:pPr>
        <w:keepNext/>
        <w:spacing w:after="80" w:before="160" w:line="360"/>
        <w:jc w:val="center"/>
      </w:pPr>
      <w:r>
        <w:rPr>
          <w:rFonts w:ascii="SimHei" w:eastAsia="SimHei"/>
          <w:b/>
          <w:bCs/>
          <w:sz w:val="21"/>
          <w:szCs w:val="21"/>
        </w:rPr>
        <w:t xml:space="preserve">表 2  SQLite 数据表</w:t>
      </w:r>
    </w:p>
    <w:tbl>
      <w:tblPr>
        <w:tblW w:type="pct" w:w="50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582"/>
        <w:gridCol w:w="2109"/>
        <w:gridCol w:w="5097"/>
      </w:tblGrid>
      <w:tr>
        <w:trPr>
          <w:cantSplit/>
          <w:tblHeader/>
        </w:trPr>
        <w:tc>
          <w:tcPr>
            <w:tcW w:type="pct" w:w="9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表</w:t>
            </w:r>
          </w:p>
        </w:tc>
        <w:tc>
          <w:tcPr>
            <w:tcW w:type="pct" w:w="12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pct" w:w="29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runs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运行主表</w:t>
            </w:r>
          </w:p>
        </w:tc>
        <w:tc>
          <w:tcPr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状态机 QUEUED/RUNNING/CANCELLING/终态,spec 与进度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run_tasks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任务进度</w:t>
            </w:r>
          </w:p>
        </w:tc>
        <w:tc>
          <w:tcPr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每场景轮数完成度与触发标记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run_events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事件流</w:t>
            </w:r>
          </w:p>
        </w:tc>
        <w:tc>
          <w:tcPr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递增序号,支撑 SSE 断线续传与 live 轮询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artifacts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产物索引</w:t>
            </w:r>
          </w:p>
        </w:tc>
        <w:tc>
          <w:tcPr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报告/存档/导出/复核标记登记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checkpoints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检查点</w:t>
            </w:r>
          </w:p>
        </w:tc>
        <w:tc>
          <w:tcPr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断点续跑位置</w:t>
            </w:r>
          </w:p>
        </w:tc>
      </w:tr>
    </w:tbl>
    <w:p>
      <w:pPr>
        <w:spacing w:after="80" w:line="240"/>
      </w:pP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3.2 FastAPI 服务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apps/api/server.py 单进程单端口(默认 127.0.0.1:8712)同时提供 REST API 与 SPA 静态托管。可选 SAFELOOP_API_KEY 环境变量启用访问鉴权(请求需带 X-API-Key 头,前端页头提供密钥设置)。核心端点如表 3。</w:t>
      </w:r>
    </w:p>
    <w:p>
      <w:pPr>
        <w:keepNext/>
        <w:spacing w:after="80" w:before="160" w:line="360"/>
        <w:jc w:val="center"/>
      </w:pPr>
      <w:r>
        <w:rPr>
          <w:rFonts w:ascii="SimHei" w:eastAsia="SimHei"/>
          <w:b/>
          <w:bCs/>
          <w:sz w:val="21"/>
          <w:szCs w:val="21"/>
        </w:rPr>
        <w:t xml:space="preserve">表 3  API 端点一览</w:t>
      </w:r>
    </w:p>
    <w:tbl>
      <w:tblPr>
        <w:tblW w:type="pct" w:w="50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515"/>
        <w:gridCol w:w="1055"/>
        <w:gridCol w:w="4218"/>
      </w:tblGrid>
      <w:tr>
        <w:trPr>
          <w:cantSplit/>
          <w:tblHeader/>
        </w:trPr>
        <w:tc>
          <w:tcPr>
            <w:tcW w:type="pct" w:w="20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端点</w:t>
            </w:r>
          </w:p>
        </w:tc>
        <w:tc>
          <w:tcPr>
            <w:tcW w:type="pct" w:w="6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pct" w:w="24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/evaluations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提交评估入队(统一 RunSpec,含 v1.1 字段)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/runs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运行历史列表(重启不丢,含导入 run)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/evaluations/{id}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运行详情(spec/进度/产物索引)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/evaluations/{id}/live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实时对话流(tail 参数防长跑截断)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/evaluations/{id}/events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SSE 事件流,Last-Event-ID 断线续传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/evaluations/{id}/report|export|transcript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报告 JSON/打印就绪 HTML/对话存档下载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/evaluations/{id}/cancel|resume|reviewed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取消/续跑/人工复核标记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/targets/test-connection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黑盒 API 连通测试(无害 ping)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/replay、/suite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POST/GET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历史回放装载、任务集行查询</w:t>
            </w:r>
          </w:p>
        </w:tc>
      </w:tr>
    </w:tbl>
    <w:p>
      <w:pPr>
        <w:pStyle w:val="Heading1"/>
        <w:spacing w:after="140" w:before="320" w:line="360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四、前端 GUI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4.1 架构与页面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前端为 Vue 3 + Vite + Element Plus + Pinia 单页应用(apps/web),无路由库,三页常驻挂载、标签切换。FastAPI 构建后直接托管 dist,单进程单端口即为完整产品;开发态经 Vite 代理到 8712。视觉体系为浅色极光底 + 玻璃拟态卡片 + 深色作战终端三语言统一,尊重系统减弱动效偏好。</w:t>
      </w:r>
    </w:p>
    <w:p>
      <w:pPr>
        <w:keepNext/>
        <w:spacing w:after="80" w:before="160" w:line="360"/>
        <w:jc w:val="center"/>
      </w:pPr>
      <w:r>
        <w:rPr>
          <w:rFonts w:ascii="SimHei" w:eastAsia="SimHei"/>
          <w:b/>
          <w:bCs/>
          <w:sz w:val="21"/>
          <w:szCs w:val="21"/>
        </w:rPr>
        <w:t xml:space="preserve">表 4  页面与核心组件</w:t>
      </w:r>
    </w:p>
    <w:tbl>
      <w:tblPr>
        <w:tblW w:type="pct" w:w="50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406"/>
        <w:gridCol w:w="3515"/>
        <w:gridCol w:w="3867"/>
      </w:tblGrid>
      <w:tr>
        <w:trPr>
          <w:cantSplit/>
          <w:tblHeader/>
        </w:trPr>
        <w:tc>
          <w:tcPr>
            <w:tcW w:type="pct" w:w="8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pct" w:w="20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组件</w:t>
            </w:r>
          </w:p>
        </w:tc>
        <w:tc>
          <w:tcPr>
            <w:tcW w:type="pct" w:w="22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总览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Overview/RunTerminal/DecisionTree/RiskFindings/HistoryList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向导表单、实况终端、决策路径、风险 KPI、运行历史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轨迹回放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ReplayView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全量轨迹列表+风险筛选,逐轮证据链与全文弹窗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评估报告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ReportView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等级徽章卡、导出/存档下载、人工复核、智能预算摘要</w:t>
            </w:r>
          </w:p>
        </w:tc>
      </w:tr>
    </w:tbl>
    <w:p>
      <w:pPr>
        <w:spacing w:after="80" w:line="240"/>
      </w:pP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4.2 关键交互闭环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提交流程:向导提交 → run_id 入队 → 2 秒轮询状态与实况流 → 终态自动加载报告与轨迹;运行中可自由切页、刷新页面(经会话存储恢复轮询)、跨分支优雅取消与检查点续跑。被测对象支持本地模型与在线 API 双通道,API 配置经连接测试通过后自动保存为本机预设(密钥永不落盘,只存变量名)。实况终端提供信号点图例、超长对话全文弹窗与「经验」标记;报告页支持一键导出打印就绪 HTML(浏览器 Ctrl+P 存 PDF)。</w:t>
      </w:r>
    </w:p>
    <w:p>
      <w:pPr>
        <w:pStyle w:val="Heading1"/>
        <w:spacing w:after="140" w:before="320" w:line="360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五、命令行接口(CLI)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统一入口 safeloop 由 pyproject.toml 安装(pip install -e . 后可用,python -m apps.cli 等价),九个子命令覆盖全部产品动作;其中 workbench 委托给富交互终端工作台(rich 渲染:向导参数、实时对话流、彩色结果报告),其余子命令为纯 JSON 输出,便于脚本集成。</w:t>
      </w:r>
    </w:p>
    <w:p>
      <w:pPr>
        <w:keepNext/>
        <w:spacing w:after="80" w:before="160" w:line="360"/>
        <w:jc w:val="center"/>
      </w:pPr>
      <w:r>
        <w:rPr>
          <w:rFonts w:ascii="SimHei" w:eastAsia="SimHei"/>
          <w:b/>
          <w:bCs/>
          <w:sz w:val="21"/>
          <w:szCs w:val="21"/>
        </w:rPr>
        <w:t xml:space="preserve">表 5  safeloop 子命令</w:t>
      </w:r>
    </w:p>
    <w:tbl>
      <w:tblPr>
        <w:tblW w:type="pct" w:w="50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子命令</w:t>
            </w:r>
          </w:p>
        </w:tc>
        <w:tc>
          <w:tcPr>
            <w:tcW w:type="pct" w:w="3300"/>
            <w:tcBorders>
              <w:bottom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Hei" w:eastAsia="SimHei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serve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启动 Web 工作台(SPA+API 单进程,--host/--port 可选)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workbench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终端向导工作台,参数透传(rich 交互)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evaluate / compare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标准/对比评估(纯 JSON 输出)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api-eval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黑盒 API 模型评估(可先 --test-connection)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report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重渲染已存报告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test-connection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黑盒 API 连通测试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history / resume / export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运行历史/续跑/导出(workbench 侧同名)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cleanup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清理 N 天前的非完成 run 记录(产物文件保留)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review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SimSun" w:eastAsia="SimSun"/>
                <w:b w:val="false"/>
                <w:bCs w:val="false"/>
                <w:sz w:val="21"/>
                <w:szCs w:val="21"/>
              </w:rPr>
              <w:t xml:space="preserve">高风险人工复核标记(--off 取消)</w:t>
            </w:r>
          </w:p>
        </w:tc>
      </w:tr>
    </w:tbl>
    <w:p>
      <w:pPr>
        <w:pStyle w:val="Heading1"/>
        <w:spacing w:after="140" w:before="320" w:line="360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六、启动流程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6.1 环境准备(一次性)</w:t>
      </w:r>
    </w:p>
    <w:p>
      <w:pPr>
        <w:spacing w:after="60" w:line="360"/>
        <w:jc w:val="both"/>
      </w:pPr>
      <w:r>
        <w:rPr>
          <w:rFonts w:ascii="SimSun" w:eastAsia="SimSun"/>
          <w:sz w:val="24"/>
          <w:szCs w:val="24"/>
        </w:rPr>
        <w:t xml:space="preserve">源码方式(完整能力,含本地模型评估)在 WSL/Ubuntu 内执行:</w:t>
      </w:r>
    </w:p>
    <w:p>
      <w:pPr>
        <w:shd w:fill="F4F6F8" w:val="clear"/>
        <w:spacing w:after="0" w:before="8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conda activate safeLoop                      # Python 3.10,含 transformers 等 GPU 依赖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cd ~/workspace/SafeLoop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pip install -e . --no-build-isolation       # 安装 safeloop 命令(核心依赖 pyyaml/rich/fastapi/uvicorn)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# 权重下载(仅本地模型评估需要,黑盒 API 模式可跳过):</w:t>
      </w:r>
    </w:p>
    <w:p>
      <w:pPr>
        <w:shd w:fill="F4F6F8" w:val="clear"/>
        <w:spacing w:after="12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hf download Qwen/Qwen1.7B-... --local-dir weights/red/...   # 详见 setup_env.md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纯服务演示(无 GPU)可跳过 conda 与权重,直接使用 Docker 方式(见 6.4)。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6.2 启动 Web 工作台(后端+前端单进程)</w:t>
      </w:r>
    </w:p>
    <w:p>
      <w:pPr>
        <w:shd w:fill="F4F6F8" w:val="clear"/>
        <w:spacing w:after="0" w:before="8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serve                              # 推荐:http://127.0.0.1:8712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# 或等价的显式方式: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PYTHONPATH=. python -m uvicorn apps.api.server:app --host 127.0.0.1 --port 8712</w:t>
      </w:r>
    </w:p>
    <w:p>
      <w:pPr>
        <w:shd w:fill="F4F6F8" w:val="clear"/>
        <w:spacing w:after="12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# 可选鉴权:export SAFELOOP_API_KEY=... 后再启动,网页页头钥匙按钮填同一密钥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浏览器打开 http://127.0.0.1:8712 即为完整产品(SPA 与 API 同源)。首次体验可点「载入示例数据」秒级查看 1B-R 预跑数据的报告与回放;真实评估在向导中选择被测对象(本地模型或在线 API)、范围与轮数后提交,运行期间可自由浏览与刷新,结束自动生成报告,可导出 HTML 与对话存档。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6.3 CLI 使用示例</w:t>
      </w:r>
    </w:p>
    <w:p>
      <w:pPr>
        <w:shd w:fill="F4F6F8" w:val="clear"/>
        <w:spacing w:after="0" w:before="8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workbench                                     # 终端向导:目标→范围→模式→轮数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workbench --mode standard -n 3                # 快速抽样 3 场景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export TARGET_API_KEY=sk-...                            # 黑盒评估:密钥只经环境变量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workbench --base-url https://api.deepseek.com/v1 --model deepseek-flash -n 3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workbench --suite safeloop_cn -n 5             # 中文检测(国标五域 108 场景)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workbench -n 5 --use-memory                    # 长期记忆(round 1+ 生效)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workbench -n 10 --adaptive-budget 30           # 智能预算模式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history / resume run_xxx / export run_xxx      # 历史/续跑/导出</w:t>
      </w:r>
    </w:p>
    <w:p>
      <w:pPr>
        <w:shd w:fill="F4F6F8" w:val="clear"/>
        <w:spacing w:after="12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safeloop cleanup --days 30                              # 运行库维护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6.4 Docker 方式(轻量服务版,零 GPU)</w:t>
      </w:r>
    </w:p>
    <w:p>
      <w:pPr>
        <w:shd w:fill="F4F6F8" w:val="clear"/>
        <w:spacing w:after="0" w:before="8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docker compose up -d                        # 构建并启动 → http://127.0.0.1:8712</w:t>
      </w:r>
    </w:p>
    <w:p>
      <w:pPr>
        <w:shd w:fill="F4F6F8" w:val="clear"/>
        <w:spacing w:after="12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docker compose down                         # 停止(outputs 在 named volume 中保留)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镜像含工作台、API 与演示回放数据,适合演示、报告查看与历史管理;本地模型评估(加载红方/判别/评审权重)需源码方式部署。</w:t>
      </w:r>
    </w:p>
    <w:p>
      <w:pPr>
        <w:pStyle w:val="Heading2"/>
        <w:spacing w:after="100" w:before="220" w:line="360"/>
      </w:pPr>
      <w:r>
        <w:rPr>
          <w:rFonts w:ascii="SimHei" w:eastAsia="SimHei"/>
          <w:b/>
          <w:bCs/>
          <w:color w:val="000000"/>
          <w:sz w:val="24"/>
          <w:szCs w:val="24"/>
        </w:rPr>
        <w:t xml:space="preserve">6.5 前端开发与冒烟测试</w:t>
      </w:r>
    </w:p>
    <w:p>
      <w:pPr>
        <w:shd w:fill="F4F6F8" w:val="clear"/>
        <w:spacing w:after="0" w:before="8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cd apps/web &amp;&amp; npm run build               # 重新构建 dist(改前端源码后)</w:t>
      </w:r>
    </w:p>
    <w:p>
      <w:pPr>
        <w:shd w:fill="F4F6F8" w:val="clear"/>
        <w:spacing w:after="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# 冒烟(需服务已启动;Windows 侧一次性准备 playwright 外部目录,详见 setup_env.md):</w:t>
      </w:r>
    </w:p>
    <w:p>
      <w:pPr>
        <w:shd w:fill="F4F6F8" w:val="clear"/>
        <w:spacing w:after="120" w:before="0" w:line="280"/>
        <w:ind w:left="240"/>
        <w:jc w:val="left"/>
      </w:pPr>
      <w:r>
        <w:rPr>
          <w:rFonts w:ascii="Consolas" w:eastAsia="SimSun"/>
          <w:sz w:val="19"/>
          <w:szCs w:val="19"/>
        </w:rPr>
        <w:t xml:space="preserve">PLAYWRIGHT_PKG=D:/ZcodeData/safeloop-smoke/package.json npm run smoke</w:t>
      </w:r>
    </w:p>
    <w:p>
      <w:pPr>
        <w:pStyle w:val="Heading1"/>
        <w:spacing w:after="140" w:before="320" w:line="360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七、测试与质量保证</w:t>
      </w:r>
    </w:p>
    <w:p>
      <w:pPr>
        <w:spacing w:after="60" w:line="360"/>
        <w:ind w:firstLine="480"/>
        <w:jc w:val="both"/>
      </w:pPr>
      <w:r>
        <w:rPr>
          <w:rFonts w:ascii="SimSun" w:eastAsia="SimSun"/>
          <w:sz w:val="24"/>
          <w:szCs w:val="24"/>
        </w:rPr>
        <w:t xml:space="preserve">质量体系为两层:193 项零 GPU 单元测试(协议/解析/指标/运行库/端点等,python -m unittest discover -s tests)与 11 项前端冒烟(Playwright 驱动真实浏览器,覆盖首页渲染、示例数据、报告页、回放筛选与全文弹窗,失败自动截图)。任何后端或前端改动后分别运行对应套件,全绿后再提交;工程红线(凭据永不落盘、判别信号不冒充结论、标准模式语义冻结)由测试与代码评审双重保证。</w:t>
      </w:r>
    </w:p>
    <w:sectPr>
      <w:footerReference w:type="default" r:id="rId6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60"/>
    </w:pPr>
    <w:rPr>
      <w:rFonts w:ascii="SimHei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 w:line="360"/>
    </w:pPr>
    <w:rPr>
      <w:rFonts w:ascii="SimHei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2026-10-13T08:55:04.466Z</dcterms:created>
  <dcterms:modified xsi:type="dcterms:W3CDTF">2026-10-13T08:55:04.468Z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