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Informe final: Monitoreo del servicio de energía en las ZNI del suroccidente colombiano</w:t>
      </w:r>
    </w:p>
    <w:p>
      <w:r>
        <w:rPr>
          <w:b/>
        </w:rPr>
        <w:t>Universidad Autónoma de Occidente — Facultad de Ingeniería y Ciencias Básicas — ETL</w:t>
      </w:r>
      <w:r>
        <w:br/>
      </w:r>
      <w:r>
        <w:rPr>
          <w:b/>
        </w:rPr>
        <w:t>Equipo:</w:t>
      </w:r>
      <w:r>
        <w:rPr>
          <w:b w:val="0"/>
        </w:rPr>
        <w:t xml:space="preserve"> Simon Colonia Amador, Ingrid Valentina y Willy Daniel</w:t>
      </w:r>
      <w:r>
        <w:br/>
      </w:r>
      <w:r>
        <w:rPr>
          <w:b/>
        </w:rPr>
        <w:t>Entrega final:</w:t>
      </w:r>
      <w:r>
        <w:rPr>
          <w:b w:val="0"/>
        </w:rPr>
        <w:t xml:space="preserve"> 2 de octubre de 2026 · </w:t>
      </w:r>
      <w:r>
        <w:rPr>
          <w:b/>
        </w:rPr>
        <w:t>Corte de los datos:</w:t>
      </w:r>
      <w:r>
        <w:rPr>
          <w:b w:val="0"/>
        </w:rPr>
        <w:t xml:space="preserve"> enero de 2026 (fecha de referencia 2026-09-30)</w:t>
      </w:r>
    </w:p>
    <w:p>
      <w:pPr>
        <w:ind w:left="360"/>
      </w:pPr>
      <w:r>
        <w:rPr>
          <w:b w:val="0"/>
          <w:i/>
        </w:rPr>
        <w:t>Este informe reemplaza el documento de avance (</w:t>
      </w:r>
      <w:r>
        <w:rPr>
          <w:rFonts w:ascii="Consolas" w:hAnsi="Consolas"/>
          <w:b w:val="0"/>
          <w:i/>
          <w:sz w:val="18"/>
        </w:rPr>
        <w:t>docs/Avance_2_Proyecto_ETL_2026_V4.pdf</w:t>
      </w:r>
      <w:r>
        <w:rPr>
          <w:b w:val="0"/>
          <w:i/>
        </w:rPr>
        <w:t xml:space="preserve">), que se conserva sin cambios. Reproduce su estructura (contexto, fuentes, matriz 4.1, frescura, herramientas, OKR, preguntas) y registra lo que cambió al validar el diseño con los datos reales. El código y la documentación técnica están en el </w:t>
      </w:r>
      <w:r>
        <w:rPr>
          <w:b w:val="0"/>
          <w:i/>
          <w:color w:val="1F4E9A"/>
        </w:rPr>
        <w:t>README</w:t>
      </w:r>
      <w:r>
        <w:rPr>
          <w:b w:val="0"/>
          <w:i/>
        </w:rPr>
        <w:t>.</w:t>
      </w:r>
    </w:p>
    <w:p>
      <w:pPr>
        <w:pStyle w:val="Heading1"/>
      </w:pPr>
      <w:r>
        <w:rPr>
          <w:b w:val="0"/>
        </w:rPr>
        <w:t>1. Resumen ejecutivo</w:t>
      </w:r>
    </w:p>
    <w:p>
      <w:r>
        <w:rPr>
          <w:b w:val="0"/>
        </w:rPr>
        <w:t>Se construyó un pipeline ETL reproducible con un solo comando (</w:t>
      </w:r>
      <w:r>
        <w:rPr>
          <w:rFonts w:ascii="Consolas" w:hAnsi="Consolas"/>
          <w:b w:val="0"/>
          <w:sz w:val="18"/>
        </w:rPr>
        <w:t>python main.py</w:t>
      </w:r>
      <w:r>
        <w:rPr>
          <w:b w:val="0"/>
        </w:rPr>
        <w:t>) que integra tres conjuntos de datos abiertos de</w:t>
      </w:r>
      <w:r>
        <w:br/>
      </w:r>
      <w:r>
        <w:rPr>
          <w:b w:val="0"/>
        </w:rPr>
        <w:t xml:space="preserve">datos.gov.co sobre el servicio de energía en las Zonas No Interconectadas (ZNI) de </w:t>
      </w:r>
      <w:r>
        <w:rPr>
          <w:b/>
        </w:rPr>
        <w:t>Valle del Cauca, Cauca, Nariño y Putumayo</w:t>
      </w:r>
      <w:r>
        <w:rPr>
          <w:b w:val="0"/>
        </w:rPr>
        <w:t>,</w:t>
      </w:r>
      <w:r>
        <w:br/>
      </w:r>
      <w:r>
        <w:rPr>
          <w:b w:val="0"/>
        </w:rPr>
        <w:t>los limpia en una arquitectura bronze → silver → gold, los carga en PostgreSQL y los entrega a un tablero de Power BI de siete páginas.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4920"/>
            <w:shd w:val="clear" w:color="auto" w:fill="D9E2F3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Fuentes integradas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3 de 3 (</w:t>
            </w:r>
            <w:r>
              <w:rPr>
                <w:rFonts w:ascii="Consolas" w:hAnsi="Consolas"/>
                <w:b w:val="0"/>
                <w:sz w:val="18"/>
              </w:rPr>
              <w:t>prestacion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operacion_diaria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pqr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Registros procesados (silver)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2.327 de prestación, 250.386 de operación diaria y 9.282 de PQR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Tablas del modelo gold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 xml:space="preserve">19 (más </w:t>
            </w:r>
            <w:r>
              <w:rPr>
                <w:rFonts w:ascii="Consolas" w:hAnsi="Consolas"/>
                <w:b w:val="0"/>
                <w:sz w:val="18"/>
              </w:rPr>
              <w:t>kpis_pipeline.csv</w:t>
            </w:r>
            <w:r>
              <w:rPr>
                <w:b w:val="0"/>
                <w:sz w:val="18"/>
              </w:rPr>
              <w:t>), todas con trazabilidad y marca de frescura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KPI del pipeline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8 de 8 cumplen su meta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Pruebas automáticas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220 pasan, sin red; mutación: 14 de 14 fallos del pipeline detectados y 20 de 20 del EDA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Reproducibilidad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Dos construcciones independientes producen tablas idénticas (huella por tabla)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Análisis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16 figuras, cuaderno ejecutado y presentación (</w:t>
            </w:r>
            <w:r>
              <w:rPr>
                <w:rFonts w:ascii="Consolas" w:hAnsi="Consolas"/>
                <w:b w:val="0"/>
                <w:sz w:val="18"/>
              </w:rPr>
              <w:t>docs/eda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notebooks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docs/presentacion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Tablero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8"/>
              </w:rPr>
              <w:t>7 páginas en Power BI con advertencias de frescura en cada una</w:t>
            </w:r>
          </w:p>
        </w:tc>
      </w:tr>
    </w:tbl>
    <w:p/>
    <w:p>
      <w:r>
        <w:rPr>
          <w:b/>
        </w:rPr>
        <w:t>Hallazgo principal.</w:t>
      </w:r>
      <w:r>
        <w:rPr>
          <w:b w:val="0"/>
        </w:rPr>
        <w:t xml:space="preserve"> El servicio es corto en toda la región: en los últimos doce meses con datos las localidades recibieron en</w:t>
      </w:r>
      <w:r>
        <w:br/>
      </w:r>
      <w:r>
        <w:rPr>
          <w:b w:val="0"/>
        </w:rPr>
        <w:t xml:space="preserve">promedio </w:t>
      </w:r>
      <w:r>
        <w:rPr>
          <w:b/>
        </w:rPr>
        <w:t>7,8 de 24 horas diarias</w:t>
      </w:r>
      <w:r>
        <w:rPr>
          <w:b w:val="0"/>
        </w:rPr>
        <w:t>, y Cauca y Nariño menos de 7. No hay una mejora generalizada entre 2020-2021 y 2024-2025.</w:t>
      </w:r>
    </w:p>
    <w:p>
      <w:r>
        <w:rPr>
          <w:b/>
        </w:rPr>
        <w:t>Advertencia principal.</w:t>
      </w:r>
      <w:r>
        <w:rPr>
          <w:b w:val="0"/>
        </w:rPr>
        <w:t xml:space="preserve"> Dos de las tres fuentes están congeladas y la principal lleva ocho periodos sin datos nuevos. Las</w:t>
      </w:r>
      <w:r>
        <w:br/>
      </w:r>
      <w:r>
        <w:rPr>
          <w:b w:val="0"/>
        </w:rPr>
        <w:t>conclusiones describen el estado a enero de 2026 y la brecha entre fuentes, no el estado actual.</w:t>
      </w:r>
    </w:p>
    <w:p>
      <w:pPr>
        <w:pStyle w:val="Heading1"/>
      </w:pPr>
      <w:r>
        <w:rPr>
          <w:b w:val="0"/>
        </w:rPr>
        <w:t>2. Contexto, usuario y problema</w:t>
      </w:r>
    </w:p>
    <w:p>
      <w:r>
        <w:rPr>
          <w:b w:val="0"/>
          <w:i/>
        </w:rPr>
        <w:t>Se mantienen sin cambios respecto al avance.</w:t>
      </w:r>
      <w:r>
        <w:rPr>
          <w:b w:val="0"/>
        </w:rPr>
        <w:t xml:space="preserve"> En las ZNI (Ley 855 de 2003) el servicio lo prestan operadores locales con plantas</w:t>
      </w:r>
      <w:r>
        <w:br/>
      </w:r>
      <w:r>
        <w:rPr>
          <w:b w:val="0"/>
        </w:rPr>
        <w:t>diésel, pequeñas centrales o sistemas solares; muchas localidades reciben solo algunas horas al día. La información está dispersa y</w:t>
      </w:r>
      <w:r>
        <w:br/>
      </w:r>
      <w:r>
        <w:rPr>
          <w:b w:val="0"/>
        </w:rPr>
        <w:t>se publica en formatos y periodicidades distintos.</w:t>
      </w:r>
    </w:p>
    <w:p>
      <w:r>
        <w:rPr>
          <w:b w:val="0"/>
        </w:rPr>
        <w:t>El usuario primario es un analista de política energética (MinEnergía / IPSE) que necesita indicadores consolidados, comparables y</w:t>
      </w:r>
      <w:r>
        <w:br/>
      </w:r>
      <w:r>
        <w:rPr>
          <w:b w:val="0"/>
        </w:rPr>
        <w:t>actualizados para priorizar inversión del FAZNI, sin acceso directo a datos crudos. Como usuarios secundarios, los operadores</w:t>
      </w:r>
      <w:r>
        <w:br/>
      </w:r>
      <w:r>
        <w:rPr>
          <w:b w:val="0"/>
        </w:rPr>
        <w:t>locales y los gobiernos municipales. El árbol del problema está en el documento de avance.</w:t>
      </w:r>
    </w:p>
    <w:p>
      <w:pPr>
        <w:pStyle w:val="Heading1"/>
      </w:pPr>
      <w:r>
        <w:rPr>
          <w:b w:val="0"/>
        </w:rPr>
        <w:t>3. Fuentes y matriz de granularidad y llaves (4.1 actualizada)</w:t>
      </w:r>
    </w:p>
    <w:p>
      <w:r>
        <w:rPr>
          <w:b w:val="0"/>
        </w:rPr>
        <w:t xml:space="preserve">La matriz del avance usaba llaves candidatas. Esta es la versión </w:t>
      </w:r>
      <w:r>
        <w:rPr>
          <w:b/>
        </w:rPr>
        <w:t>validada con los datos reales</w:t>
      </w:r>
      <w:r>
        <w:rPr>
          <w:b w:val="0"/>
        </w:rPr>
        <w:t>: ninguna unión se construyó</w:t>
      </w:r>
      <w:r>
        <w:br/>
      </w:r>
      <w:r>
        <w:rPr>
          <w:b w:val="0"/>
        </w:rPr>
        <w:t>antes de pasar las pruebas de la sección 3.2.</w:t>
      </w:r>
    </w:p>
    <w:p>
      <w:pPr>
        <w:pStyle w:val="Heading2"/>
      </w:pPr>
      <w:r>
        <w:rPr>
          <w:b w:val="0"/>
        </w:rPr>
        <w:t>3.1 Matriz de granularidad y llaves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Fuente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Granularidad real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Llave validada (0 duplicados)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Cobertura observada (4 departamentos)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Rol en el modelo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prestacion</w:t>
            </w:r>
            <w:r>
              <w:rPr>
                <w:b w:val="0"/>
                <w:sz w:val="18"/>
              </w:rPr>
              <w:t xml:space="preserve"> (3ebi-d83g)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Localidad × mes</w:t>
            </w:r>
          </w:p>
        </w:tc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id_localidad</w:t>
            </w:r>
            <w:r>
              <w:rPr>
                <w:b w:val="0"/>
                <w:sz w:val="18"/>
              </w:rPr>
              <w:t xml:space="preserve"> + nombre de localidad normalizado + año + mes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2020-01 a 2026-01 (73 meses)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Hechos: energía activa y reactiva, potencia máxima y horas de servicio. Base del modelo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operacion_diaria</w:t>
            </w:r>
            <w:r>
              <w:rPr>
                <w:b w:val="0"/>
                <w:sz w:val="18"/>
              </w:rPr>
              <w:t xml:space="preserve"> (qwe5-ycap)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Localidad × día × generador</w:t>
            </w:r>
          </w:p>
        </w:tc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codigo_localidad</w:t>
            </w:r>
            <w:r>
              <w:rPr>
                <w:b w:val="0"/>
                <w:sz w:val="18"/>
              </w:rPr>
              <w:t xml:space="preserve"> + fecha + </w:t>
            </w:r>
            <w:r>
              <w:rPr>
                <w:rFonts w:ascii="Consolas" w:hAnsi="Consolas"/>
                <w:b w:val="0"/>
                <w:sz w:val="18"/>
              </w:rPr>
              <w:t>serie_generador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2021-07 a 2022-03 (9 meses)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Relación operador–localidad con vigencia observada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pqr</w:t>
            </w:r>
            <w:r>
              <w:rPr>
                <w:b w:val="0"/>
                <w:sz w:val="18"/>
              </w:rPr>
              <w:t xml:space="preserve"> (5wua-nr2d)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Caso individual; se agrega a municipio × semestre × empresa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Llave agregada: municipio + año + semestre + empresa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2021-07 a 2022-06 y 2023-01 a 2023-06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Hechos de PQR, solo a nivel de municipio</w:t>
            </w:r>
          </w:p>
        </w:tc>
      </w:tr>
    </w:tbl>
    <w:p/>
    <w:p>
      <w:pPr>
        <w:pStyle w:val="Heading2"/>
      </w:pPr>
      <w:r>
        <w:rPr>
          <w:b w:val="0"/>
        </w:rPr>
        <w:t xml:space="preserve">3.2 Pruebas previas a las uniones (resultados en </w:t>
      </w:r>
      <w:r>
        <w:rPr>
          <w:rFonts w:ascii="Consolas" w:hAnsi="Consolas"/>
          <w:b w:val="0"/>
          <w:sz w:val="18"/>
        </w:rPr>
        <w:t>gold.meta_uniones</w:t>
      </w:r>
      <w:r>
        <w:rPr>
          <w:b w:val="0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Prueba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Unicidad de la llave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0 duplicados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Cumple en las tres fuentes (con las llaves de la tabla anterior)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Validez del código DANE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95 %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 de formato y jerarquía válidos (5 dígitos de municipio; 8 de localidad)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Cruce entre fuentes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% sin cruce documentado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47,95 % de localidades de prestación sin operador enlazable; 55,56 % de municipio-semestre de prestación sin PQR; 25 % de municipios de operación diaria sin PQR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Identificador de empresa común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95 % de coincidencia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8"/>
              </w:rPr>
              <w:t>0 %: no cumple.</w:t>
            </w:r>
            <w:r>
              <w:rPr>
                <w:b w:val="0"/>
                <w:sz w:val="18"/>
              </w:rPr>
              <w:t xml:space="preserve"> La unión operador–PQR se limita al municipio, como preveía la regla de respaldo del diseño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Cardinalidad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Observada frente a esperada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Hasta 2 operadores por localidad-mes y hasta 6 empresas por municipio-semestre; ambos casos se tratan antes de unir</w:t>
            </w:r>
          </w:p>
        </w:tc>
      </w:tr>
    </w:tbl>
    <w:p/>
    <w:p>
      <w:pPr>
        <w:pStyle w:val="Heading2"/>
      </w:pPr>
      <w:r>
        <w:rPr>
          <w:b w:val="0"/>
        </w:rPr>
        <w:t>3.3 Uniones: lo previsto y lo construido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Unión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Previsto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Construido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Prestación ↔ operación diaria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Localidad + mes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8"/>
              </w:rPr>
              <w:t>Implementada con tratamiento.</w:t>
            </w:r>
            <w:r>
              <w:rPr>
                <w:b w:val="0"/>
                <w:sz w:val="18"/>
              </w:rPr>
              <w:t xml:space="preserve"> Se une por los primeros 8 dígitos del código de localidad cuando el centro poblado no es </w:t>
            </w:r>
            <w:r>
              <w:rPr>
                <w:rFonts w:ascii="Consolas" w:hAnsi="Consolas"/>
                <w:b w:val="0"/>
                <w:sz w:val="18"/>
              </w:rPr>
              <w:t>000</w:t>
            </w:r>
            <w:r>
              <w:rPr>
                <w:b w:val="0"/>
                <w:sz w:val="18"/>
              </w:rPr>
              <w:t>: 38 de las 73 localidades y 9 meses. Con 2 operadores en un mes se asigna el de mayor energía generada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Prestación ↔ PQR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 + semestre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8"/>
              </w:rPr>
              <w:t>Implementada.</w:t>
            </w:r>
            <w:r>
              <w:rPr>
                <w:b w:val="0"/>
                <w:sz w:val="18"/>
              </w:rPr>
              <w:t xml:space="preserve"> La PQR se agrega por municipio-semestre antes de unir y nunca se asigna a una localidad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Operación diaria ↔ PQR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 + empresa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8"/>
              </w:rPr>
              <w:t>No implementada por empresa</w:t>
            </w:r>
            <w:r>
              <w:rPr>
                <w:b w:val="0"/>
                <w:sz w:val="18"/>
              </w:rPr>
              <w:t xml:space="preserve"> (0 % de identificadores comunes). Solo municipio</w:t>
            </w:r>
          </w:p>
        </w:tc>
      </w:tr>
    </w:tbl>
    <w:p/>
    <w:p>
      <w:r>
        <w:rPr>
          <w:b w:val="0"/>
        </w:rPr>
        <w:t>Se mantiene la regla de no unir nunca por nombre en texto libre ni asignar PQR a localidades individuales.</w:t>
      </w:r>
    </w:p>
    <w:p>
      <w:pPr>
        <w:pStyle w:val="Heading1"/>
      </w:pPr>
      <w:r>
        <w:rPr>
          <w:b w:val="0"/>
        </w:rPr>
        <w:t>4. Política de frescura</w:t>
      </w:r>
    </w:p>
    <w:p>
      <w:r>
        <w:rPr>
          <w:b w:val="0"/>
        </w:rPr>
        <w:t xml:space="preserve">La política del avance se aplicó con las fechas de corte </w:t>
      </w:r>
      <w:r>
        <w:rPr>
          <w:b/>
        </w:rPr>
        <w:t>observadas</w:t>
      </w:r>
      <w:r>
        <w:rPr>
          <w:b w:val="0"/>
        </w:rPr>
        <w:t xml:space="preserve"> en los datos, no con las del portal.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Fuente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Último periodo con datos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Fecha de corte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Retraso a 2026-09-30</w:t>
            </w:r>
          </w:p>
        </w:tc>
        <w:tc>
          <w:tcPr>
            <w:tcW w:type="dxa" w:w="1968"/>
            <w:shd w:val="clear" w:color="auto" w:fill="D9E2F3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prestacion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2026-01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2026-01-31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8 periodos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Desactualizada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operacion_diaria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2022-03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2022-03-31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9 periodos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Congelada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Consolas" w:hAnsi="Consolas"/>
                <w:b w:val="0"/>
                <w:sz w:val="18"/>
              </w:rPr>
              <w:t>pqr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2023-06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2023-06-30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6,5 periodos</w:t>
            </w:r>
          </w:p>
        </w:tc>
        <w:tc>
          <w:tcPr>
            <w:tcW w:type="dxa" w:w="1968"/>
          </w:tcPr>
          <w:p>
            <w:r/>
            <w:r>
              <w:rPr>
                <w:b w:val="0"/>
                <w:sz w:val="18"/>
              </w:rPr>
              <w:t>Congelada</w:t>
            </w:r>
          </w:p>
        </w:tc>
      </w:tr>
    </w:tbl>
    <w:p/>
    <w:p>
      <w:r>
        <w:rPr>
          <w:b w:val="0"/>
        </w:rPr>
        <w:t xml:space="preserve">Cada registro de gold lleva </w:t>
      </w:r>
      <w:r>
        <w:rPr>
          <w:rFonts w:ascii="Consolas" w:hAnsi="Consolas"/>
          <w:b w:val="0"/>
          <w:sz w:val="18"/>
        </w:rPr>
        <w:t>fecha_corte_fuente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estado_frescura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8"/>
        </w:rPr>
        <w:t>es_comparable</w:t>
      </w:r>
      <w:r>
        <w:rPr>
          <w:b w:val="0"/>
        </w:rPr>
        <w:t>. Los periodos no comparables **se marcan y no se</w:t>
      </w:r>
      <w:r>
        <w:br/>
      </w:r>
      <w:r>
        <w:rPr>
          <w:b w:val="0"/>
        </w:rPr>
        <w:t>descartan**. El tablero muestra la advertencia de cada fuente en cada página.</w:t>
      </w:r>
    </w:p>
    <w:p>
      <w:pPr>
        <w:pStyle w:val="Heading1"/>
      </w:pPr>
      <w:r>
        <w:rPr>
          <w:b w:val="0"/>
        </w:rPr>
        <w:t>5. Arquitectura y herramientas</w:t>
      </w:r>
    </w:p>
    <w:p>
      <w:r>
        <w:rPr>
          <w:rFonts w:ascii="Consolas" w:hAnsi="Consolas"/>
          <w:sz w:val="17"/>
        </w:rPr>
        <w:t>API Socrata → perfilar → extract (bronze) → silver → gold → load (PostgreSQL) → Power BI</w:t>
        <w:br/>
        <w:t xml:space="preserve">                                                     └→ eda (Matplotlib, cuaderno)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Uso real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Extracción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 xml:space="preserve">Socrata API (SoQL), </w:t>
            </w:r>
            <w:r>
              <w:rPr>
                <w:rFonts w:ascii="Consolas" w:hAnsi="Consolas"/>
                <w:b w:val="0"/>
                <w:sz w:val="18"/>
              </w:rPr>
              <w:t>requests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 xml:space="preserve">Paginación con </w:t>
            </w:r>
            <w:r>
              <w:rPr>
                <w:rFonts w:ascii="Consolas" w:hAnsi="Consolas"/>
                <w:b w:val="0"/>
                <w:sz w:val="18"/>
              </w:rPr>
              <w:t>$order=:id</w:t>
            </w:r>
            <w:r>
              <w:rPr>
                <w:b w:val="0"/>
                <w:sz w:val="18"/>
              </w:rPr>
              <w:t>, reintentos con espera creciente, token opcional y respaldo local por CSV/XLSX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Transformación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Python y pandas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Tipos, códigos DANE, filtro por departamento, deduplicación exacta, 4 o más reglas registradas por registro, validación de plausibilidad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Almacenamiento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PostgreSQL, SQLAlchemy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 xml:space="preserve">Esquemas </w:t>
            </w:r>
            <w:r>
              <w:rPr>
                <w:rFonts w:ascii="Consolas" w:hAnsi="Consolas"/>
                <w:b w:val="0"/>
                <w:sz w:val="18"/>
              </w:rPr>
              <w:t>gold</w:t>
            </w:r>
            <w:r>
              <w:rPr>
                <w:b w:val="0"/>
                <w:sz w:val="18"/>
              </w:rPr>
              <w:t xml:space="preserve"> y </w:t>
            </w:r>
            <w:r>
              <w:rPr>
                <w:rFonts w:ascii="Consolas" w:hAnsi="Consolas"/>
                <w:b w:val="0"/>
                <w:sz w:val="18"/>
              </w:rPr>
              <w:t>silver</w:t>
            </w:r>
            <w:r>
              <w:rPr>
                <w:b w:val="0"/>
                <w:sz w:val="18"/>
              </w:rPr>
              <w:t>, carga idempotente, llaves e índices, verificación de conteos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Orquestación</w:t>
            </w:r>
          </w:p>
        </w:tc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main.py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 xml:space="preserve">Etapas encadenadas con errores controlados, registro en </w:t>
            </w:r>
            <w:r>
              <w:rPr>
                <w:rFonts w:ascii="Consolas" w:hAnsi="Consolas"/>
                <w:b w:val="0"/>
                <w:sz w:val="18"/>
              </w:rPr>
              <w:t>logs/pipeline.log</w:t>
            </w:r>
            <w:r>
              <w:rPr>
                <w:b w:val="0"/>
                <w:sz w:val="18"/>
              </w:rPr>
              <w:t xml:space="preserve"> y código de salida 0/1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Visualización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Siete páginas; ver sección 9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220 pruebas sin red, con pruebas de mutación</w:t>
            </w:r>
          </w:p>
        </w:tc>
      </w:tr>
    </w:tbl>
    <w:p/>
    <w:p>
      <w:pPr>
        <w:pStyle w:val="Heading1"/>
      </w:pPr>
      <w:r>
        <w:rPr>
          <w:b w:val="0"/>
        </w:rPr>
        <w:t>6. OKR y KPI: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KR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Meta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KR1. Fuentes integradas en PostgreSQL con carga automatizada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3 de 3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5-oct-2026</w:t>
            </w:r>
          </w:p>
        </w:tc>
        <w:tc>
          <w:tcPr>
            <w:tcW w:type="dxa" w:w="2460"/>
          </w:tcPr>
          <w:p>
            <w:r/>
            <w:r>
              <w:rPr>
                <w:b/>
                <w:sz w:val="18"/>
              </w:rPr>
              <w:t>Cumple.</w:t>
            </w:r>
            <w:r>
              <w:rPr>
                <w:b w:val="0"/>
                <w:sz w:val="18"/>
              </w:rPr>
              <w:t xml:space="preserve"> 3 de 3, carga con </w:t>
            </w:r>
            <w:r>
              <w:rPr>
                <w:rFonts w:ascii="Consolas" w:hAnsi="Consolas"/>
                <w:b w:val="0"/>
                <w:sz w:val="18"/>
              </w:rPr>
              <w:t>python main.py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KR2. DANE válido y cruce; duplicados; campos críticos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≥ 95 %; ≤ 1 %; ≥ 98 %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7-oct-2026</w:t>
            </w:r>
          </w:p>
        </w:tc>
        <w:tc>
          <w:tcPr>
            <w:tcW w:type="dxa" w:w="2460"/>
          </w:tcPr>
          <w:p>
            <w:r/>
            <w:r>
              <w:rPr>
                <w:b/>
                <w:sz w:val="18"/>
              </w:rPr>
              <w:t>Cumple.</w:t>
            </w:r>
            <w:r>
              <w:rPr>
                <w:b w:val="0"/>
                <w:sz w:val="18"/>
              </w:rPr>
              <w:t xml:space="preserve"> DANE 100 %; duplicados 0 %; campos críticos 100 % (por registro, peor fuente). Los cruces tienen porcentajes sin cruce documentados (sección 3.2)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KR3. Trazabilidad y reproducibilidad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100 %; 0 errores sin controlar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8-oct-2026</w:t>
            </w:r>
          </w:p>
        </w:tc>
        <w:tc>
          <w:tcPr>
            <w:tcW w:type="dxa" w:w="2460"/>
          </w:tcPr>
          <w:p>
            <w:r/>
            <w:r>
              <w:rPr>
                <w:b/>
                <w:sz w:val="18"/>
              </w:rPr>
              <w:t>Cumple.</w:t>
            </w:r>
            <w:r>
              <w:rPr>
                <w:b w:val="0"/>
                <w:sz w:val="18"/>
              </w:rPr>
              <w:t xml:space="preserve"> 100 % con fuente, fecha de carga, lote y regla; 0 errores; reproducibilidad 100 %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KR4. Tablero con indicadores del MVP y advertencia de frescura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1 tablero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9-oct-2026</w:t>
            </w:r>
          </w:p>
        </w:tc>
        <w:tc>
          <w:tcPr>
            <w:tcW w:type="dxa" w:w="2460"/>
          </w:tcPr>
          <w:p>
            <w:r/>
            <w:r>
              <w:rPr>
                <w:b/>
                <w:sz w:val="18"/>
              </w:rPr>
              <w:t>Cumple en contenido.</w:t>
            </w:r>
            <w:r>
              <w:rPr>
                <w:b w:val="0"/>
                <w:sz w:val="18"/>
              </w:rPr>
              <w:t xml:space="preserve"> Tablero de 7 páginas con advertencia de frescura en cada una (capturas en el anexo B). El </w:t>
            </w:r>
            <w:r>
              <w:rPr>
                <w:rFonts w:ascii="Consolas" w:hAnsi="Consolas"/>
                <w:b w:val="0"/>
                <w:sz w:val="18"/>
              </w:rPr>
              <w:t>.pbix</w:t>
            </w:r>
            <w:r>
              <w:rPr>
                <w:b w:val="0"/>
                <w:sz w:val="18"/>
              </w:rPr>
              <w:t xml:space="preserve"> y su PDF se entregan aparte; no está publicado en el servicio de Power BI</w:t>
            </w:r>
          </w:p>
        </w:tc>
      </w:tr>
    </w:tbl>
    <w:p/>
    <w:p>
      <w:pPr>
        <w:pStyle w:val="Heading2"/>
      </w:pPr>
      <w:r>
        <w:rPr>
          <w:b w:val="0"/>
        </w:rPr>
        <w:t>KPI del pipeline (</w:t>
      </w:r>
      <w:r>
        <w:rPr>
          <w:rFonts w:ascii="Consolas" w:hAnsi="Consolas"/>
          <w:b w:val="0"/>
          <w:sz w:val="18"/>
        </w:rPr>
        <w:t>data/gold/kpis_pipeline.csv</w:t>
      </w:r>
      <w:r>
        <w:rPr>
          <w:b w:val="0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Meta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pct_fuentes_integradas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100 %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pct_variables_estandarizadas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100 %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 (30 variables)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pct_registros_duplicados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≤ 1 %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0 %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pct_registros_con_trazabilidad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100 %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pct_campos_criticos_completos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98 %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numero_errores_transformacion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pct_reglas_negocio_documentadas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100 %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pct_informacion_reproducible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≥ 100 %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100 %</w:t>
            </w:r>
          </w:p>
        </w:tc>
      </w:tr>
    </w:tbl>
    <w:p/>
    <w:p>
      <w:r>
        <w:rPr>
          <w:b/>
        </w:rPr>
        <w:t>KPI del diseño que no figuran en `kpis_pipeline`:</w:t>
      </w:r>
    </w:p>
    <w:p>
      <w:pPr>
        <w:pStyle w:val="ListBullet"/>
      </w:pPr>
      <w:r>
        <w:rPr>
          <w:b w:val="0"/>
          <w:i/>
        </w:rPr>
        <w:t>% de indicadores con fuente identificada:</w:t>
      </w:r>
      <w:r>
        <w:rPr>
          <w:b w:val="0"/>
        </w:rPr>
        <w:t xml:space="preserve"> se cumple, pues las 11 tablas </w:t>
      </w:r>
      <w:r>
        <w:rPr>
          <w:rFonts w:ascii="Consolas" w:hAnsi="Consolas"/>
          <w:b w:val="0"/>
          <w:sz w:val="18"/>
        </w:rPr>
        <w:t>ind_*</w:t>
      </w:r>
      <w:r>
        <w:rPr>
          <w:b w:val="0"/>
        </w:rPr>
        <w:t xml:space="preserve"> llevan </w:t>
      </w:r>
      <w:r>
        <w:rPr>
          <w:rFonts w:ascii="Consolas" w:hAnsi="Consolas"/>
          <w:b w:val="0"/>
          <w:sz w:val="18"/>
        </w:rPr>
        <w:t>fuentes_origen</w:t>
      </w:r>
      <w:r>
        <w:rPr>
          <w:b w:val="0"/>
        </w:rPr>
        <w:t xml:space="preserve"> sin nulos, pero no se publica como KPI.</w:t>
      </w:r>
    </w:p>
    <w:p>
      <w:pPr>
        <w:pStyle w:val="ListBullet"/>
      </w:pPr>
      <w:r>
        <w:rPr>
          <w:b w:val="0"/>
          <w:i/>
        </w:rPr>
        <w:t>% de localidades con servicio:</w:t>
      </w:r>
      <w:r>
        <w:rPr>
          <w:b w:val="0"/>
        </w:rPr>
        <w:t xml:space="preserve"> está en el tablero (97,1 % en 2026-01: 34 de 35 localidades reportadas).</w:t>
      </w:r>
    </w:p>
    <w:p>
      <w:pPr>
        <w:pStyle w:val="ListBullet"/>
      </w:pPr>
      <w:r>
        <w:rPr>
          <w:b w:val="0"/>
          <w:i/>
        </w:rPr>
        <w:t>% de disponibilidad del pipeline:</w:t>
      </w:r>
      <w:r>
        <w:rPr>
          <w:b w:val="0"/>
        </w:rPr>
        <w:t xml:space="preserve"> </w:t>
      </w:r>
      <w:r>
        <w:rPr>
          <w:b/>
        </w:rPr>
        <w:t>no se mide</w:t>
      </w:r>
      <w:r>
        <w:rPr>
          <w:b w:val="0"/>
        </w:rPr>
        <w:t>; exige operar el pipeline durante un periodo y no hay ejecuciones programadas.</w:t>
      </w:r>
    </w:p>
    <w:p>
      <w:pPr>
        <w:pStyle w:val="Heading1"/>
      </w:pPr>
      <w:r>
        <w:rPr>
          <w:b w:val="0"/>
        </w:rPr>
        <w:t>7. Respuestas a las preguntas del MVP</w:t>
      </w:r>
    </w:p>
    <w:p>
      <w:r>
        <w:rPr>
          <w:b w:val="0"/>
        </w:rPr>
        <w:t xml:space="preserve">Cifras de </w:t>
      </w:r>
      <w:r>
        <w:rPr>
          <w:rFonts w:ascii="Consolas" w:hAnsi="Consolas"/>
          <w:b w:val="0"/>
          <w:sz w:val="18"/>
        </w:rPr>
        <w:t>docs/eda/hallazgos.json</w:t>
      </w:r>
      <w:r>
        <w:rPr>
          <w:b w:val="0"/>
        </w:rPr>
        <w:t xml:space="preserve"> y del tablero. Detalle y salvedades en el cuaderno </w:t>
      </w:r>
      <w:r>
        <w:rPr>
          <w:rFonts w:ascii="Consolas" w:hAnsi="Consolas"/>
          <w:b w:val="0"/>
          <w:sz w:val="18"/>
        </w:rPr>
        <w:t>notebooks/01_eda_zni.ipynb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Estado actual.</w:t>
      </w:r>
      <w:r>
        <w:rPr>
          <w:b w:val="0"/>
        </w:rPr>
        <w:t xml:space="preserve"> En 2026-01 reportaron 35 localidades y 34 tenían servicio. En los últimos doce meses con datos el promedio es de 7,8 h/día: Cauca 6,3; Nariño 6,6; Valle del Cauca 8,9; Putumayo 14,8 (solo dos localidades).</w:t>
      </w:r>
    </w:p>
    <w:p>
      <w:pPr>
        <w:pStyle w:val="ListNumber"/>
      </w:pPr>
      <w:r>
        <w:rPr>
          <w:b/>
        </w:rPr>
        <w:t>Brechas.</w:t>
      </w:r>
      <w:r>
        <w:rPr>
          <w:b w:val="0"/>
        </w:rPr>
        <w:t xml:space="preserve"> La mayor está en la costa pacífica de Nariño y Cauca. Magüí recibe 1,9 h; le siguen López de Micay (5,8 h) y El Charco. Cinco de las ocho localidades con menos horas son de Magüí.</w:t>
      </w:r>
    </w:p>
    <w:p>
      <w:pPr>
        <w:pStyle w:val="ListNumber"/>
      </w:pPr>
      <w:r>
        <w:rPr>
          <w:b/>
        </w:rPr>
        <w:t>Evolución.</w:t>
      </w:r>
      <w:r>
        <w:rPr>
          <w:b w:val="0"/>
        </w:rPr>
        <w:t xml:space="preserve"> No hay mejora generalizada. De 26 localidades comparables, 11 mejoran, 10 empeoran y 5 se mantienen; el cambio mediano es de +0,3 h y su intervalo de confianza del 95 % (−0,6 a +1,0) incluye el cero. Solo Puerto Merizalde (de 7 a 22 h) y Pital de la Costa mejoraron mucho. Diciembre es el mejor mes (+0,6 h) y enero el peor (−0,5 h).</w:t>
      </w:r>
    </w:p>
    <w:p>
      <w:pPr>
        <w:pStyle w:val="ListNumber"/>
      </w:pPr>
      <w:r>
        <w:rPr>
          <w:b/>
        </w:rPr>
        <w:t>Operadores.</w:t>
      </w:r>
      <w:r>
        <w:rPr>
          <w:b w:val="0"/>
        </w:rPr>
        <w:t xml:space="preserve"> Hay 14 operadores y el operador solo se puede asignar al 52 % de las localidades, entre 2021-07 y 2022-03. El promedio ponderado es de 6,9 h. Los dos extremos (13,5 h y 3,1 h) se miden con una sola localidad cada uno, por lo que no son comparables.</w:t>
      </w:r>
    </w:p>
    <w:p>
      <w:pPr>
        <w:pStyle w:val="ListNumber"/>
      </w:pPr>
      <w:r>
        <w:rPr>
          <w:b/>
        </w:rPr>
        <w:t>PQR.</w:t>
      </w:r>
      <w:r>
        <w:rPr>
          <w:b w:val="0"/>
        </w:rPr>
        <w:t xml:space="preserve"> Son 9.282 casos, 89,5 % con respuesta; Pasto, Ipiales y Tumaco reúnen el 71 %. Son casos de </w:t>
      </w:r>
      <w:r>
        <w:rPr>
          <w:b/>
        </w:rPr>
        <w:t>distribuidoras de gas</w:t>
      </w:r>
      <w:r>
        <w:rPr>
          <w:b w:val="0"/>
        </w:rPr>
        <w:t>, no de energía eléctrica. La relación con las horas de servicio es débil (ρ de Spearman 0,11 con 36 pares municipio-semestre) y descriptiva, no causal.</w:t>
      </w:r>
    </w:p>
    <w:p>
      <w:pPr>
        <w:pStyle w:val="ListNumber"/>
      </w:pPr>
      <w:r>
        <w:rPr>
          <w:b/>
        </w:rPr>
        <w:t>Peor desempeño combinado.</w:t>
      </w:r>
      <w:r>
        <w:rPr>
          <w:b w:val="0"/>
        </w:rPr>
        <w:t xml:space="preserve"> Tumaco encabeza (767 PQR, 17,1 h de brecha), seguido de Olaya Herrera y Francisco Pizarro. Las localidades con menos horas son El Rosario (0,4 h), La Isla (1,2 h) y Alto Estero (1,7 h), las tres de Magüí.</w:t>
      </w:r>
    </w:p>
    <w:p>
      <w:pPr>
        <w:pStyle w:val="Heading1"/>
      </w:pPr>
      <w:r>
        <w:rPr>
          <w:b w:val="0"/>
        </w:rPr>
        <w:t>8. Desviaciones respecto al diseño</w:t>
      </w:r>
    </w:p>
    <w:p>
      <w:r>
        <w:rPr>
          <w:b w:val="0"/>
        </w:rPr>
        <w:t xml:space="preserve">Cada una nació de un hallazgo al perfilar las fuentes; la evidencia está en </w:t>
      </w:r>
      <w:r>
        <w:rPr>
          <w:rFonts w:ascii="Consolas" w:hAnsi="Consolas"/>
          <w:b w:val="0"/>
          <w:sz w:val="18"/>
        </w:rPr>
        <w:t>config/config.yaml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notas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8"/>
        </w:rPr>
        <w:t>decisiones_de_diseno</w:t>
      </w:r>
      <w:r>
        <w:rPr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El diseño suponía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Lo encontrado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8"/>
              </w:rPr>
              <w:t>Decisión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60"/>
          </w:tcPr>
          <w:p>
            <w:r/>
            <w:r>
              <w:rPr>
                <w:rFonts w:ascii="Consolas" w:hAnsi="Consolas"/>
                <w:b w:val="0"/>
                <w:sz w:val="18"/>
              </w:rPr>
              <w:t>pqr</w:t>
            </w:r>
            <w:r>
              <w:rPr>
                <w:b w:val="0"/>
                <w:sz w:val="18"/>
              </w:rPr>
              <w:t xml:space="preserve"> mide quejas del servicio de energía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Todas las empresas son distribuidoras de gas; el identificador de empresa coincide 0 % con </w:t>
            </w:r>
            <w:r>
              <w:rPr>
                <w:rFonts w:ascii="Consolas" w:hAnsi="Consolas"/>
                <w:b w:val="0"/>
                <w:sz w:val="18"/>
              </w:rPr>
              <w:t>operacion_diaria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Se mantiene como contexto municipal; la unión se limita a municipio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60"/>
          </w:tcPr>
          <w:p>
            <w:r/>
            <w:r>
              <w:rPr>
                <w:rFonts w:ascii="Consolas" w:hAnsi="Consolas"/>
                <w:b w:val="0"/>
                <w:sz w:val="18"/>
              </w:rPr>
              <w:t>prestacion</w:t>
            </w:r>
            <w:r>
              <w:rPr>
                <w:b w:val="0"/>
                <w:sz w:val="18"/>
              </w:rPr>
              <w:t xml:space="preserve"> ↔ </w:t>
            </w:r>
            <w:r>
              <w:rPr>
                <w:rFonts w:ascii="Consolas" w:hAnsi="Consolas"/>
                <w:b w:val="0"/>
                <w:sz w:val="18"/>
              </w:rPr>
              <w:t>operacion_diaria</w:t>
            </w:r>
            <w:r>
              <w:rPr>
                <w:b w:val="0"/>
                <w:sz w:val="18"/>
              </w:rPr>
              <w:t xml:space="preserve"> por código de localidad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El código de operación diaria tiene 13 dígitos (municipio 5 + centro poblado 3 + consecutivo 5)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Se une por los primeros 8 dígitos si el centro poblado no es </w:t>
            </w:r>
            <w:r>
              <w:rPr>
                <w:rFonts w:ascii="Consolas" w:hAnsi="Consolas"/>
                <w:b w:val="0"/>
                <w:sz w:val="18"/>
              </w:rPr>
              <w:t>000</w:t>
            </w:r>
            <w:r>
              <w:rPr>
                <w:b w:val="0"/>
                <w:sz w:val="18"/>
              </w:rPr>
              <w:t>: 38 de 73 localidades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Una llave de localidad por código DANE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15 de 73 códigos agrupan localidades con nombres distintos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La entidad es (código, nombre normalizado); con esa llave no hay duplicados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Cortes del portal: </w:t>
            </w:r>
            <w:r>
              <w:rPr>
                <w:rFonts w:ascii="Consolas" w:hAnsi="Consolas"/>
                <w:b w:val="0"/>
                <w:sz w:val="18"/>
              </w:rPr>
              <w:t>qwe5-ycap</w:t>
            </w:r>
            <w:r>
              <w:rPr>
                <w:b w:val="0"/>
                <w:sz w:val="18"/>
              </w:rPr>
              <w:t xml:space="preserve"> jun-2023 y </w:t>
            </w:r>
            <w:r>
              <w:rPr>
                <w:rFonts w:ascii="Consolas" w:hAnsi="Consolas"/>
                <w:b w:val="0"/>
                <w:sz w:val="18"/>
              </w:rPr>
              <w:t>5wua-nr2d</w:t>
            </w:r>
            <w:r>
              <w:rPr>
                <w:b w:val="0"/>
                <w:sz w:val="18"/>
              </w:rPr>
              <w:t xml:space="preserve"> mar-2024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Los datos terminan en 2022-03 y 2023-06; </w:t>
            </w:r>
            <w:r>
              <w:rPr>
                <w:rFonts w:ascii="Consolas" w:hAnsi="Consolas"/>
                <w:b w:val="0"/>
                <w:sz w:val="18"/>
              </w:rPr>
              <w:t>pqr</w:t>
            </w:r>
            <w:r>
              <w:rPr>
                <w:b w:val="0"/>
                <w:sz w:val="18"/>
              </w:rPr>
              <w:t xml:space="preserve"> no tiene el semestre 2022-2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La comparabilidad usa la cobertura observada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60"/>
          </w:tcPr>
          <w:p>
            <w:r/>
            <w:r>
              <w:rPr>
                <w:rFonts w:ascii="Consolas" w:hAnsi="Consolas"/>
                <w:b w:val="0"/>
                <w:sz w:val="18"/>
              </w:rPr>
              <w:t>3ebi-d83g</w:t>
            </w:r>
            <w:r>
              <w:rPr>
                <w:b w:val="0"/>
                <w:sz w:val="18"/>
              </w:rPr>
              <w:t xml:space="preserve"> con corte único ene-2026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Hay dos fechas: último periodo con datos (ene-2026) y actualización del portal (2026-03-13)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Se usa el último periodo con datos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Formato estable de </w:t>
            </w:r>
            <w:r>
              <w:rPr>
                <w:rFonts w:ascii="Consolas" w:hAnsi="Consolas"/>
                <w:b w:val="0"/>
                <w:sz w:val="18"/>
              </w:rPr>
              <w:t>prestacion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En 2025-12 y 2026-01 las horas vienen ×100 y la potencia en escala inconsistente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Las horas se reescalan y se marcan (validado con la energía); la potencia de esas filas se excluye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Validez DANE frente al catálogo DIVIPOLA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No se incorporó el catálogo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Se valida formato y jerarquía; la pertenencia a un catálogo oficial queda pendiente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Llave de </w:t>
            </w:r>
            <w:r>
              <w:rPr>
                <w:rFonts w:ascii="Consolas" w:hAnsi="Consolas"/>
                <w:b w:val="0"/>
                <w:sz w:val="18"/>
              </w:rPr>
              <w:t>qwe5-ycap</w:t>
            </w:r>
            <w:r>
              <w:rPr>
                <w:b w:val="0"/>
                <w:sz w:val="18"/>
              </w:rPr>
              <w:t xml:space="preserve"> con operador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La llave única es localidad + fecha + serie del generador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El operador se obtiene por agregación localidad-mes</w:t>
            </w:r>
          </w:p>
        </w:tc>
      </w:tr>
      <w:tr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Horas de </w:t>
            </w:r>
            <w:r>
              <w:rPr>
                <w:rFonts w:ascii="Consolas" w:hAnsi="Consolas"/>
                <w:b w:val="0"/>
                <w:sz w:val="18"/>
              </w:rPr>
              <w:t>qwe5-ycap</w:t>
            </w:r>
            <w:r>
              <w:rPr>
                <w:b w:val="0"/>
                <w:sz w:val="18"/>
              </w:rPr>
              <w:t xml:space="preserve"> como medida del servicio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>El 96 % de los registros declara 4, 5 u 8 horas y el 96 % del tiempo figura como calculado</w:t>
            </w:r>
          </w:p>
        </w:tc>
        <w:tc>
          <w:tcPr>
            <w:tcW w:type="dxa" w:w="2460"/>
          </w:tcPr>
          <w:p>
            <w:r/>
            <w:r>
              <w:rPr>
                <w:b w:val="0"/>
                <w:sz w:val="18"/>
              </w:rPr>
              <w:t xml:space="preserve">Las horas del análisis salen de </w:t>
            </w:r>
            <w:r>
              <w:rPr>
                <w:rFonts w:ascii="Consolas" w:hAnsi="Consolas"/>
                <w:b w:val="0"/>
                <w:sz w:val="18"/>
              </w:rPr>
              <w:t>prestacion</w:t>
            </w:r>
          </w:p>
        </w:tc>
      </w:tr>
    </w:tbl>
    <w:p/>
    <w:p>
      <w:pPr>
        <w:pStyle w:val="Heading1"/>
      </w:pPr>
      <w:r>
        <w:rPr>
          <w:b w:val="0"/>
        </w:rPr>
        <w:t>9. Tablero de Power BI</w:t>
      </w:r>
    </w:p>
    <w:p>
      <w:r>
        <w:rPr>
          <w:b w:val="0"/>
        </w:rPr>
        <w:t xml:space="preserve">Siete páginas sobre las tablas de </w:t>
      </w:r>
      <w:r>
        <w:rPr>
          <w:rFonts w:ascii="Consolas" w:hAnsi="Consolas"/>
          <w:b w:val="0"/>
          <w:sz w:val="18"/>
        </w:rPr>
        <w:t>gold</w:t>
      </w:r>
      <w:r>
        <w:rPr>
          <w:b w:val="0"/>
        </w:rPr>
        <w:t xml:space="preserve"> (modo Importar): 1. Estado actual · 2. Brechas · 3. Evolución · 4. Operadores · 5. PQR ·</w:t>
      </w:r>
    </w:p>
    <w:p>
      <w:pPr>
        <w:pStyle w:val="ListNumber"/>
      </w:pPr>
      <w:r>
        <w:rPr>
          <w:b w:val="0"/>
        </w:rPr>
        <w:t>Peor desempeño · 7. Calidad y frescura. Las instrucciones para reconstruirlo, las medidas DAX y las lecturas recomendadas están en la</w:t>
      </w:r>
    </w:p>
    <w:p>
      <w:r>
        <w:rPr>
          <w:b w:val="0"/>
        </w:rPr>
        <w:t xml:space="preserve">sección 9 del </w:t>
      </w:r>
      <w:r>
        <w:rPr>
          <w:b w:val="0"/>
          <w:color w:val="1F4E9A"/>
        </w:rPr>
        <w:t>README</w:t>
      </w:r>
      <w:r>
        <w:rPr>
          <w:b w:val="0"/>
        </w:rPr>
        <w:t>.</w:t>
      </w:r>
    </w:p>
    <w:p>
      <w:r>
        <w:rPr>
          <w:b w:val="0"/>
        </w:rPr>
        <w:t>Se tomaron estas decisiones de diseño del tablero:</w:t>
      </w:r>
    </w:p>
    <w:p>
      <w:pPr>
        <w:pStyle w:val="ListBullet"/>
      </w:pPr>
      <w:r>
        <w:rPr>
          <w:b w:val="0"/>
        </w:rPr>
        <w:t xml:space="preserve">El </w:t>
      </w:r>
      <w:r>
        <w:rPr>
          <w:rFonts w:ascii="Consolas" w:hAnsi="Consolas"/>
          <w:b w:val="0"/>
          <w:sz w:val="18"/>
        </w:rPr>
        <w:t>% con servicio</w:t>
      </w:r>
      <w:r>
        <w:rPr>
          <w:b w:val="0"/>
        </w:rPr>
        <w:t xml:space="preserve"> es una medida (suma de localidades con servicio entre suma de reportadas), no un promedio de porcentajes.</w:t>
      </w:r>
    </w:p>
    <w:p>
      <w:pPr>
        <w:pStyle w:val="ListBullet"/>
      </w:pPr>
      <w:r>
        <w:rPr>
          <w:b w:val="0"/>
        </w:rPr>
        <w:t xml:space="preserve">Las tablas </w:t>
      </w:r>
      <w:r>
        <w:rPr>
          <w:rFonts w:ascii="Consolas" w:hAnsi="Consolas"/>
          <w:b w:val="0"/>
          <w:sz w:val="18"/>
        </w:rPr>
        <w:t>ind_*</w:t>
      </w:r>
      <w:r>
        <w:rPr>
          <w:b w:val="0"/>
        </w:rPr>
        <w:t xml:space="preserve"> no tienen relaciones; un calendario único conecta las páginas mensuales.</w:t>
      </w:r>
    </w:p>
    <w:p>
      <w:pPr>
        <w:pStyle w:val="ListBullet"/>
      </w:pPr>
      <w:r>
        <w:rPr>
          <w:b w:val="0"/>
        </w:rPr>
        <w:t>Cada página muestra el aviso de frescura de las fuentes que usa.</w:t>
      </w:r>
    </w:p>
    <w:p>
      <w:pPr>
        <w:pStyle w:val="ListBullet"/>
      </w:pPr>
      <w:r>
        <w:rPr>
          <w:b w:val="0"/>
        </w:rPr>
        <w:t>La página de PQR limita el eje a 60 casos y lo declara: Tumaco (≈ 767) quedaría fuera de escala.</w:t>
      </w:r>
    </w:p>
    <w:p>
      <w:pPr>
        <w:pStyle w:val="ListBullet"/>
      </w:pPr>
      <w:r>
        <w:rPr>
          <w:b w:val="0"/>
        </w:rPr>
        <w:t>La página de calidad muestra las pruebas no aprobadas (3 de 18) con su explicación, no las oculta.</w:t>
      </w:r>
    </w:p>
    <w:p>
      <w:r>
        <w:drawing>
          <wp:inline xmlns:a="http://schemas.openxmlformats.org/drawingml/2006/main" xmlns:pic="http://schemas.openxmlformats.org/drawingml/2006/picture">
            <wp:extent cx="5760720" cy="2882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1_estado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1 del tablero: estado actual del servicio</w:t>
      </w:r>
    </w:p>
    <w:p>
      <w:pPr>
        <w:pStyle w:val="Heading1"/>
      </w:pPr>
      <w:r>
        <w:rPr>
          <w:b w:val="0"/>
        </w:rPr>
        <w:t>10. Limitaciones</w:t>
      </w:r>
    </w:p>
    <w:p>
      <w:pPr>
        <w:pStyle w:val="ListBullet"/>
      </w:pPr>
      <w:r>
        <w:rPr>
          <w:b/>
        </w:rPr>
        <w:t>Los datos no están al día.</w:t>
      </w:r>
      <w:r>
        <w:rPr>
          <w:b w:val="0"/>
        </w:rPr>
        <w:t xml:space="preserve"> Prestación termina en enero de 2026 y las otras dos fuentes están congeladas; no se puede afirmar el estado actual.</w:t>
      </w:r>
    </w:p>
    <w:p>
      <w:pPr>
        <w:pStyle w:val="ListBullet"/>
      </w:pPr>
      <w:r>
        <w:rPr>
          <w:b/>
        </w:rPr>
        <w:t>Reporte incompleto.</w:t>
      </w:r>
      <w:r>
        <w:rPr>
          <w:b w:val="0"/>
        </w:rPr>
        <w:t xml:space="preserve"> Entre 14 y 44 de las 97 localidades reportan cada mes. Puerto Leguízamo (≈ 65 % de la energía) no reportó en 24 de 73 meses, lo que produce caídas bruscas en la energía total que no son un cambio del servicio.</w:t>
      </w:r>
    </w:p>
    <w:p>
      <w:pPr>
        <w:pStyle w:val="ListBullet"/>
      </w:pPr>
      <w:r>
        <w:rPr>
          <w:b/>
        </w:rPr>
        <w:t>Operadores.</w:t>
      </w:r>
      <w:r>
        <w:rPr>
          <w:b w:val="0"/>
        </w:rPr>
        <w:t xml:space="preserve"> Solo 38 de 73 localidades y 9 meses tienen operador asignable.</w:t>
      </w:r>
    </w:p>
    <w:p>
      <w:pPr>
        <w:pStyle w:val="ListBullet"/>
      </w:pPr>
      <w:r>
        <w:rPr>
          <w:b/>
        </w:rPr>
        <w:t>PQR.</w:t>
      </w:r>
      <w:r>
        <w:rPr>
          <w:b w:val="0"/>
        </w:rPr>
        <w:t xml:space="preserve"> Son de gas, no se normalizan por población y no prueban una causa.</w:t>
      </w:r>
    </w:p>
    <w:p>
      <w:pPr>
        <w:pStyle w:val="ListBullet"/>
      </w:pPr>
      <w:r>
        <w:rPr>
          <w:b/>
        </w:rPr>
        <w:t>Potencia máxima.</w:t>
      </w:r>
      <w:r>
        <w:rPr>
          <w:b w:val="0"/>
        </w:rPr>
        <w:t xml:space="preserve"> No está disponible para 2025-12 y 2026-01.</w:t>
      </w:r>
    </w:p>
    <w:p>
      <w:pPr>
        <w:pStyle w:val="ListBullet"/>
      </w:pPr>
      <w:r>
        <w:rPr>
          <w:b/>
        </w:rPr>
        <w:t>Evolución.</w:t>
      </w:r>
      <w:r>
        <w:rPr>
          <w:b w:val="0"/>
        </w:rPr>
        <w:t xml:space="preserve"> Solo es medible en 26 de las 97 localidades; con tan pocas el cambio no se distingue de cero.</w:t>
      </w:r>
    </w:p>
    <w:p>
      <w:pPr>
        <w:pStyle w:val="ListBullet"/>
      </w:pPr>
      <w:r>
        <w:rPr>
          <w:b/>
        </w:rPr>
        <w:t>Sin catálogo DIVIPOLA.</w:t>
      </w:r>
      <w:r>
        <w:rPr>
          <w:b w:val="0"/>
        </w:rPr>
        <w:t xml:space="preserve"> La validez DANE verifica formato y jerarquía.</w:t>
      </w:r>
    </w:p>
    <w:p>
      <w:pPr>
        <w:pStyle w:val="Heading1"/>
      </w:pPr>
      <w:r>
        <w:rPr>
          <w:b w:val="0"/>
        </w:rPr>
        <w:t>11. Trabajo futuro (fase 2)</w:t>
      </w:r>
    </w:p>
    <w:p>
      <w:r>
        <w:rPr>
          <w:b w:val="0"/>
        </w:rPr>
        <w:t>Las preguntas de la sección 6.2 del avance siguen requiriendo fuentes adicionales: población por localidad (DANE), proyectos FAZNI/IPSE</w:t>
      </w:r>
      <w:r>
        <w:br/>
      </w:r>
      <w:r>
        <w:rPr>
          <w:b w:val="0"/>
        </w:rPr>
        <w:t>históricos, atlas de recursos renovables, costos y metas oficiales de cobertura. Antes de ellas convendría:</w:t>
      </w:r>
    </w:p>
    <w:p>
      <w:pPr>
        <w:pStyle w:val="ListNumber"/>
      </w:pPr>
      <w:r>
        <w:rPr>
          <w:b w:val="0"/>
        </w:rPr>
        <w:t>Incorporar el catálogo DIVIPOLA y validar la pertenencia de los códigos.</w:t>
      </w:r>
    </w:p>
    <w:p>
      <w:pPr>
        <w:pStyle w:val="ListNumber"/>
      </w:pPr>
      <w:r>
        <w:rPr>
          <w:b w:val="0"/>
        </w:rPr>
        <w:t>Programar la ejecución del pipeline y medir la disponibilidad (el KPI pendiente).</w:t>
      </w:r>
    </w:p>
    <w:p>
      <w:pPr>
        <w:pStyle w:val="ListNumber"/>
      </w:pPr>
      <w:r>
        <w:rPr>
          <w:b w:val="0"/>
        </w:rPr>
        <w:t xml:space="preserve">Solicitar a las entidades el reporte de </w:t>
      </w:r>
      <w:r>
        <w:rPr>
          <w:rFonts w:ascii="Consolas" w:hAnsi="Consolas"/>
          <w:b w:val="0"/>
          <w:sz w:val="18"/>
        </w:rPr>
        <w:t>operacion_diaria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8"/>
        </w:rPr>
        <w:t>pqr</w:t>
      </w:r>
      <w:r>
        <w:rPr>
          <w:b w:val="0"/>
        </w:rPr>
        <w:t xml:space="preserve"> posterior a 2022 y 2023, o buscar fuentes que lo reemplacen.</w:t>
      </w:r>
    </w:p>
    <w:p>
      <w:pPr>
        <w:pStyle w:val="ListNumber"/>
      </w:pPr>
      <w:r>
        <w:rPr>
          <w:b w:val="0"/>
        </w:rPr>
        <w:t>Buscar una fuente de operador vigente para poder responder la pregunta 4 con datos recientes.</w:t>
      </w:r>
    </w:p>
    <w:p>
      <w:pPr>
        <w:pStyle w:val="Heading1"/>
      </w:pPr>
      <w:r>
        <w:rPr>
          <w:b w:val="0"/>
        </w:rPr>
        <w:t>12. Reproducir el trabajo</w:t>
      </w:r>
    </w:p>
    <w:p>
      <w:r>
        <w:rPr>
          <w:rFonts w:ascii="Consolas" w:hAnsi="Consolas"/>
          <w:sz w:val="17"/>
        </w:rPr>
        <w:t>git clone https://github.com/Lecho67/avance.git; cd avance</w:t>
        <w:br/>
        <w:t>python -m venv .venv; .venv\Scripts\Activate.ps1; pip install -r requirements.txt</w:t>
        <w:br/>
        <w:t>Copy-Item .env.example .env       # completar PG_PASSWORD (y PG_PORT si se usa Docker)</w:t>
        <w:br/>
        <w:t>python main.py                    # perfilado, extracción, silver, gold, carga y EDA</w:t>
        <w:br/>
        <w:t>pytest                            # 220 pruebas</w:t>
      </w:r>
    </w:p>
    <w:p>
      <w:r>
        <w:rPr>
          <w:b w:val="0"/>
        </w:rPr>
        <w:t xml:space="preserve">Detalles de instalación, configuración de PostgreSQL con Docker, ejecución por etapas y solución de problemas: </w:t>
      </w:r>
      <w:r>
        <w:rPr>
          <w:b w:val="0"/>
          <w:color w:val="1F4E9A"/>
        </w:rPr>
        <w:t>README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Anexo A. Tablas del modelo gold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Tabla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Filas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8"/>
              </w:rPr>
              <w:t>Grano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dim_municipio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133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dim_localidad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Localidad (código + nombre)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fact_prestacion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2.327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Localidad × mes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fact_pqr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519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 × semestre × empresa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puente_operador_localidad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992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Código de operación × operador, con vigencia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ind_localidades_con_servicio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282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Departamento × mes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ind_horas_servicio_departamento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282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Departamento × mes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ind_horas_servicio_municipio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785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 × mes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ind_brechas_horas_servicio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Departamento o municipio × año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ind_evolucion_mensual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Región o departamento × mes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ind_operador_localidad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Localidad × operador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ind_comparacion_operadores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Operador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ind_pqr_vs_horas_municipio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 × semestre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ind_pqr_empresa_municipio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519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 × semestre × empresa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ind_peor_desempeno_municipio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Municipio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ind_localidades_menos_horas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Localidad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meta_fuentes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meta_uniones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Unión × prueba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/>
                <w:b w:val="0"/>
                <w:sz w:val="18"/>
              </w:rPr>
              <w:t>kpis_pipeline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8"/>
              </w:rPr>
              <w:t>Indicador</w:t>
            </w:r>
          </w:p>
        </w:tc>
      </w:tr>
    </w:tbl>
    <w:p/>
    <w:p>
      <w:pPr>
        <w:pStyle w:val="Heading1"/>
      </w:pPr>
      <w:r>
        <w:rPr>
          <w:b w:val="0"/>
        </w:rPr>
        <w:t>Anexo B. Capturas del tablero</w:t>
      </w:r>
    </w:p>
    <w:p>
      <w:r>
        <w:rPr>
          <w:b w:val="0"/>
        </w:rPr>
        <w:t>Exportadas desde Power BI Desktop (</w:t>
      </w:r>
      <w:r>
        <w:rPr>
          <w:rFonts w:ascii="Consolas" w:hAnsi="Consolas"/>
          <w:b w:val="0"/>
          <w:sz w:val="18"/>
        </w:rPr>
        <w:t>ZNI_tablero.pdf</w:t>
      </w:r>
      <w:r>
        <w:rPr>
          <w:b w:val="0"/>
        </w:rPr>
        <w:t>). Cada página lleva el aviso de frescura de las fuentes que usa.</w:t>
      </w:r>
    </w:p>
    <w:p>
      <w:r>
        <w:drawing>
          <wp:inline xmlns:a="http://schemas.openxmlformats.org/drawingml/2006/main" xmlns:pic="http://schemas.openxmlformats.org/drawingml/2006/picture">
            <wp:extent cx="5760720" cy="2882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1_estado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1: estado actual</w:t>
      </w:r>
    </w:p>
    <w:p>
      <w:r>
        <w:drawing>
          <wp:inline xmlns:a="http://schemas.openxmlformats.org/drawingml/2006/main" xmlns:pic="http://schemas.openxmlformats.org/drawingml/2006/picture">
            <wp:extent cx="5760720" cy="3280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2_brech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2: brechas</w:t>
      </w:r>
    </w:p>
    <w:p>
      <w:r>
        <w:drawing>
          <wp:inline xmlns:a="http://schemas.openxmlformats.org/drawingml/2006/main" xmlns:pic="http://schemas.openxmlformats.org/drawingml/2006/picture">
            <wp:extent cx="5760720" cy="3280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3_evol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3: evolución mensual</w:t>
      </w:r>
    </w:p>
    <w:p>
      <w:r>
        <w:drawing>
          <wp:inline xmlns:a="http://schemas.openxmlformats.org/drawingml/2006/main" xmlns:pic="http://schemas.openxmlformats.org/drawingml/2006/picture">
            <wp:extent cx="5760720" cy="3280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4_opera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4: operadores</w:t>
      </w:r>
    </w:p>
    <w:p>
      <w:r>
        <w:drawing>
          <wp:inline xmlns:a="http://schemas.openxmlformats.org/drawingml/2006/main" xmlns:pic="http://schemas.openxmlformats.org/drawingml/2006/picture">
            <wp:extent cx="5760720" cy="3280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5_p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5: PQR y horas de servicio</w:t>
      </w:r>
    </w:p>
    <w:p>
      <w:r>
        <w:drawing>
          <wp:inline xmlns:a="http://schemas.openxmlformats.org/drawingml/2006/main" xmlns:pic="http://schemas.openxmlformats.org/drawingml/2006/picture">
            <wp:extent cx="5760720" cy="32804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6_peor_desempe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6: peor desempeño combinado</w:t>
      </w:r>
    </w:p>
    <w:p>
      <w:r>
        <w:drawing>
          <wp:inline xmlns:a="http://schemas.openxmlformats.org/drawingml/2006/main" xmlns:pic="http://schemas.openxmlformats.org/drawingml/2006/picture">
            <wp:extent cx="5760720" cy="4093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7_calidad_frescu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Página 7: calidad y frescura</w:t>
      </w:r>
    </w:p>
    <w:sectPr w:rsidR="00FC693F" w:rsidRPr="0006063C" w:rsidSect="00034616">
      <w:pgSz w:w="12240" w:h="15840"/>
      <w:pgMar w:top="1120" w:right="120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