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b w:val="0"/>
        </w:rPr>
        <w:t>Informe final: Monitoreo del servicio de energía en las ZNI del suroccidente colombiano</w:t>
      </w:r>
    </w:p>
    <w:p>
      <w:r>
        <w:rPr>
          <w:b/>
        </w:rPr>
        <w:t>Universidad Autónoma de Occidente — Facultad de Ingeniería y Ciencias Básicas — ETL</w:t>
      </w:r>
      <w:r>
        <w:br/>
      </w:r>
      <w:r>
        <w:rPr>
          <w:b/>
        </w:rPr>
        <w:t>Equipo:</w:t>
      </w:r>
      <w:r>
        <w:rPr>
          <w:b w:val="0"/>
        </w:rPr>
        <w:t xml:space="preserve"> Simon Colonia Amador, Ingrid Valentina y Willy Daniel</w:t>
      </w:r>
      <w:r>
        <w:br/>
      </w:r>
      <w:r>
        <w:rPr>
          <w:b/>
        </w:rPr>
        <w:t>Entrega final:</w:t>
      </w:r>
      <w:r>
        <w:rPr>
          <w:b w:val="0"/>
        </w:rPr>
        <w:t xml:space="preserve"> 2 de octubre de 2026 · </w:t>
      </w:r>
      <w:r>
        <w:rPr>
          <w:b/>
        </w:rPr>
        <w:t>Corte de los datos:</w:t>
      </w:r>
      <w:r>
        <w:rPr>
          <w:b w:val="0"/>
        </w:rPr>
        <w:t xml:space="preserve"> enero de 2026 (fecha de referencia 2026-09-30)</w:t>
      </w:r>
    </w:p>
    <w:p>
      <w:pPr>
        <w:ind w:left="360"/>
      </w:pPr>
      <w:r>
        <w:rPr>
          <w:b w:val="0"/>
          <w:i/>
        </w:rPr>
        <w:t>Este informe reemplaza el documento de avance (</w:t>
      </w:r>
      <w:r>
        <w:rPr>
          <w:rFonts w:ascii="Consolas" w:hAnsi="Consolas"/>
          <w:b w:val="0"/>
          <w:i/>
          <w:sz w:val="18"/>
        </w:rPr>
        <w:t>docs/Avance_2_Proyecto_ETL_2026_V4.pdf</w:t>
      </w:r>
      <w:r>
        <w:rPr>
          <w:b w:val="0"/>
          <w:i/>
        </w:rPr>
        <w:t xml:space="preserve">), que se conserva sin cambios. Reproduce su estructura (contexto, fuentes, matriz 4.1, frescura, herramientas, OKR, preguntas) y registra lo que cambió al validar el diseño con los datos reales. El código y la documentación técnica están en el </w:t>
      </w:r>
      <w:r>
        <w:rPr>
          <w:b w:val="0"/>
          <w:i/>
          <w:color w:val="1F4E9A"/>
        </w:rPr>
        <w:t>README</w:t>
      </w:r>
      <w:r>
        <w:rPr>
          <w:b w:val="0"/>
          <w:i/>
        </w:rPr>
        <w:t>.</w:t>
      </w:r>
    </w:p>
    <w:p>
      <w:pPr>
        <w:pStyle w:val="Heading1"/>
      </w:pPr>
      <w:r>
        <w:rPr>
          <w:b w:val="0"/>
        </w:rPr>
        <w:t>1. Resumen ejecutivo</w:t>
      </w:r>
    </w:p>
    <w:p>
      <w:r>
        <w:rPr>
          <w:b w:val="0"/>
        </w:rPr>
        <w:t>Se construyó un pipeline ETL reproducible con un solo comando (</w:t>
      </w:r>
      <w:r>
        <w:rPr>
          <w:rFonts w:ascii="Consolas" w:hAnsi="Consolas"/>
          <w:b w:val="0"/>
          <w:sz w:val="18"/>
        </w:rPr>
        <w:t>python main.py</w:t>
      </w:r>
      <w:r>
        <w:rPr>
          <w:b w:val="0"/>
        </w:rPr>
        <w:t>) que integra tres conjuntos de datos abiertos de</w:t>
      </w:r>
      <w:r>
        <w:br/>
      </w:r>
      <w:r>
        <w:rPr>
          <w:b w:val="0"/>
        </w:rPr>
        <w:t xml:space="preserve">datos.gov.co sobre el servicio de energía en las Zonas No Interconectadas (ZNI) de </w:t>
      </w:r>
      <w:r>
        <w:rPr>
          <w:b/>
        </w:rPr>
        <w:t>Valle del Cauca, Cauca, Nariño y Putumayo</w:t>
      </w:r>
      <w:r>
        <w:rPr>
          <w:b w:val="0"/>
        </w:rPr>
        <w:t>,</w:t>
      </w:r>
      <w:r>
        <w:br/>
      </w:r>
      <w:r>
        <w:rPr>
          <w:b w:val="0"/>
        </w:rPr>
        <w:t>los limpia en una arquitectura bronze → silver → gold, los carga en PostgreSQL y los entrega a un tablero de Power BI de siete páginas.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20"/>
        <w:gridCol w:w="4920"/>
      </w:tblGrid>
      <w:tr>
        <w:tc>
          <w:tcPr>
            <w:tcW w:type="dxa" w:w="4920"/>
            <w:shd w:val="clear" w:color="auto" w:fill="D9E2F3"/>
          </w:tcPr>
          <w:p>
            <w:r/>
            <w:r>
              <w:rPr>
                <w:b/>
                <w:sz w:val="18"/>
              </w:rPr>
              <w:t>Resultado</w:t>
            </w:r>
          </w:p>
        </w:tc>
        <w:tc>
          <w:tcPr>
            <w:tcW w:type="dxa" w:w="4920"/>
            <w:shd w:val="clear" w:color="auto" w:fill="D9E2F3"/>
          </w:tcPr>
          <w:p>
            <w:r/>
            <w:r>
              <w:rPr>
                <w:b/>
                <w:sz w:val="18"/>
              </w:rPr>
              <w:t>Valor</w:t>
            </w:r>
          </w:p>
        </w:tc>
      </w:tr>
      <w:tr>
        <w:tc>
          <w:tcPr>
            <w:tcW w:type="dxa" w:w="4920"/>
          </w:tcPr>
          <w:p>
            <w:r/>
            <w:r>
              <w:rPr>
                <w:b w:val="0"/>
                <w:sz w:val="18"/>
              </w:rPr>
              <w:t>Fuentes integradas</w:t>
            </w:r>
          </w:p>
        </w:tc>
        <w:tc>
          <w:tcPr>
            <w:tcW w:type="dxa" w:w="4920"/>
          </w:tcPr>
          <w:p>
            <w:r/>
            <w:r>
              <w:rPr>
                <w:b w:val="0"/>
                <w:sz w:val="18"/>
              </w:rPr>
              <w:t>3 de 3 (</w:t>
            </w:r>
            <w:r>
              <w:rPr>
                <w:rFonts w:ascii="Consolas" w:hAnsi="Consolas"/>
                <w:b w:val="0"/>
                <w:sz w:val="18"/>
              </w:rPr>
              <w:t>prestacion</w:t>
            </w:r>
            <w:r>
              <w:rPr>
                <w:b w:val="0"/>
                <w:sz w:val="18"/>
              </w:rPr>
              <w:t xml:space="preserve">, </w:t>
            </w:r>
            <w:r>
              <w:rPr>
                <w:rFonts w:ascii="Consolas" w:hAnsi="Consolas"/>
                <w:b w:val="0"/>
                <w:sz w:val="18"/>
              </w:rPr>
              <w:t>operacion_diaria</w:t>
            </w:r>
            <w:r>
              <w:rPr>
                <w:b w:val="0"/>
                <w:sz w:val="18"/>
              </w:rPr>
              <w:t xml:space="preserve">, </w:t>
            </w:r>
            <w:r>
              <w:rPr>
                <w:rFonts w:ascii="Consolas" w:hAnsi="Consolas"/>
                <w:b w:val="0"/>
                <w:sz w:val="18"/>
              </w:rPr>
              <w:t>pqr</w:t>
            </w:r>
            <w:r>
              <w:rPr>
                <w:b w:val="0"/>
                <w:sz w:val="18"/>
              </w:rPr>
              <w:t>)</w:t>
            </w:r>
          </w:p>
        </w:tc>
      </w:tr>
      <w:tr>
        <w:tc>
          <w:tcPr>
            <w:tcW w:type="dxa" w:w="4920"/>
          </w:tcPr>
          <w:p>
            <w:r/>
            <w:r>
              <w:rPr>
                <w:b w:val="0"/>
                <w:sz w:val="18"/>
              </w:rPr>
              <w:t>Registros procesados (silver)</w:t>
            </w:r>
          </w:p>
        </w:tc>
        <w:tc>
          <w:tcPr>
            <w:tcW w:type="dxa" w:w="4920"/>
          </w:tcPr>
          <w:p>
            <w:r/>
            <w:r>
              <w:rPr>
                <w:b w:val="0"/>
                <w:sz w:val="18"/>
              </w:rPr>
              <w:t>2.327 de prestación, 250.386 de operación diaria y 9.282 de PQR</w:t>
            </w:r>
          </w:p>
        </w:tc>
      </w:tr>
      <w:tr>
        <w:tc>
          <w:tcPr>
            <w:tcW w:type="dxa" w:w="4920"/>
          </w:tcPr>
          <w:p>
            <w:r/>
            <w:r>
              <w:rPr>
                <w:b w:val="0"/>
                <w:sz w:val="18"/>
              </w:rPr>
              <w:t>Tablas del modelo gold</w:t>
            </w:r>
          </w:p>
        </w:tc>
        <w:tc>
          <w:tcPr>
            <w:tcW w:type="dxa" w:w="4920"/>
          </w:tcPr>
          <w:p>
            <w:r/>
            <w:r>
              <w:rPr>
                <w:b w:val="0"/>
                <w:sz w:val="18"/>
              </w:rPr>
              <w:t xml:space="preserve">19 (más </w:t>
            </w:r>
            <w:r>
              <w:rPr>
                <w:rFonts w:ascii="Consolas" w:hAnsi="Consolas"/>
                <w:b w:val="0"/>
                <w:sz w:val="18"/>
              </w:rPr>
              <w:t>kpis_pipeline.csv</w:t>
            </w:r>
            <w:r>
              <w:rPr>
                <w:b w:val="0"/>
                <w:sz w:val="18"/>
              </w:rPr>
              <w:t>), todas con trazabilidad y marca de frescura</w:t>
            </w:r>
          </w:p>
        </w:tc>
      </w:tr>
      <w:tr>
        <w:tc>
          <w:tcPr>
            <w:tcW w:type="dxa" w:w="4920"/>
          </w:tcPr>
          <w:p>
            <w:r/>
            <w:r>
              <w:rPr>
                <w:b w:val="0"/>
                <w:sz w:val="18"/>
              </w:rPr>
              <w:t>KPI del pipeline</w:t>
            </w:r>
          </w:p>
        </w:tc>
        <w:tc>
          <w:tcPr>
            <w:tcW w:type="dxa" w:w="4920"/>
          </w:tcPr>
          <w:p>
            <w:r/>
            <w:r>
              <w:rPr>
                <w:b w:val="0"/>
                <w:sz w:val="18"/>
              </w:rPr>
              <w:t>8 de 8 cumplen su meta</w:t>
            </w:r>
          </w:p>
        </w:tc>
      </w:tr>
      <w:tr>
        <w:tc>
          <w:tcPr>
            <w:tcW w:type="dxa" w:w="4920"/>
          </w:tcPr>
          <w:p>
            <w:r/>
            <w:r>
              <w:rPr>
                <w:b w:val="0"/>
                <w:sz w:val="18"/>
              </w:rPr>
              <w:t>Pruebas automáticas</w:t>
            </w:r>
          </w:p>
        </w:tc>
        <w:tc>
          <w:tcPr>
            <w:tcW w:type="dxa" w:w="4920"/>
          </w:tcPr>
          <w:p>
            <w:r/>
            <w:r>
              <w:rPr>
                <w:b w:val="0"/>
                <w:sz w:val="18"/>
              </w:rPr>
              <w:t>220 pasan, sin red; mutación: 14 de 14 fallos del pipeline detectados y 20 de 20 del EDA</w:t>
            </w:r>
          </w:p>
        </w:tc>
      </w:tr>
      <w:tr>
        <w:tc>
          <w:tcPr>
            <w:tcW w:type="dxa" w:w="4920"/>
          </w:tcPr>
          <w:p>
            <w:r/>
            <w:r>
              <w:rPr>
                <w:b w:val="0"/>
                <w:sz w:val="18"/>
              </w:rPr>
              <w:t>Reproducibilidad</w:t>
            </w:r>
          </w:p>
        </w:tc>
        <w:tc>
          <w:tcPr>
            <w:tcW w:type="dxa" w:w="4920"/>
          </w:tcPr>
          <w:p>
            <w:r/>
            <w:r>
              <w:rPr>
                <w:b w:val="0"/>
                <w:sz w:val="18"/>
              </w:rPr>
              <w:t>Dos construcciones independientes producen tablas idénticas (huella por tabla)</w:t>
            </w:r>
          </w:p>
        </w:tc>
      </w:tr>
      <w:tr>
        <w:tc>
          <w:tcPr>
            <w:tcW w:type="dxa" w:w="4920"/>
          </w:tcPr>
          <w:p>
            <w:r/>
            <w:r>
              <w:rPr>
                <w:b w:val="0"/>
                <w:sz w:val="18"/>
              </w:rPr>
              <w:t>Análisis</w:t>
            </w:r>
          </w:p>
        </w:tc>
        <w:tc>
          <w:tcPr>
            <w:tcW w:type="dxa" w:w="4920"/>
          </w:tcPr>
          <w:p>
            <w:r/>
            <w:r>
              <w:rPr>
                <w:b w:val="0"/>
                <w:sz w:val="18"/>
              </w:rPr>
              <w:t>16 figuras, cuaderno ejecutado y presentación (</w:t>
            </w:r>
            <w:r>
              <w:rPr>
                <w:rFonts w:ascii="Consolas" w:hAnsi="Consolas"/>
                <w:b w:val="0"/>
                <w:sz w:val="18"/>
              </w:rPr>
              <w:t>docs/eda</w:t>
            </w:r>
            <w:r>
              <w:rPr>
                <w:b w:val="0"/>
                <w:sz w:val="18"/>
              </w:rPr>
              <w:t xml:space="preserve">, </w:t>
            </w:r>
            <w:r>
              <w:rPr>
                <w:rFonts w:ascii="Consolas" w:hAnsi="Consolas"/>
                <w:b w:val="0"/>
                <w:sz w:val="18"/>
              </w:rPr>
              <w:t>notebooks</w:t>
            </w:r>
            <w:r>
              <w:rPr>
                <w:b w:val="0"/>
                <w:sz w:val="18"/>
              </w:rPr>
              <w:t xml:space="preserve">, </w:t>
            </w:r>
            <w:r>
              <w:rPr>
                <w:rFonts w:ascii="Consolas" w:hAnsi="Consolas"/>
                <w:b w:val="0"/>
                <w:sz w:val="18"/>
              </w:rPr>
              <w:t>docs/presentacion</w:t>
            </w:r>
            <w:r>
              <w:rPr>
                <w:b w:val="0"/>
                <w:sz w:val="18"/>
              </w:rPr>
              <w:t>)</w:t>
            </w:r>
          </w:p>
        </w:tc>
      </w:tr>
      <w:tr>
        <w:tc>
          <w:tcPr>
            <w:tcW w:type="dxa" w:w="4920"/>
          </w:tcPr>
          <w:p>
            <w:r/>
            <w:r>
              <w:rPr>
                <w:b w:val="0"/>
                <w:sz w:val="18"/>
              </w:rPr>
              <w:t>Tablero</w:t>
            </w:r>
          </w:p>
        </w:tc>
        <w:tc>
          <w:tcPr>
            <w:tcW w:type="dxa" w:w="4920"/>
          </w:tcPr>
          <w:p>
            <w:r/>
            <w:r>
              <w:rPr>
                <w:b w:val="0"/>
                <w:sz w:val="18"/>
              </w:rPr>
              <w:t>7 páginas en Power BI con advertencias de frescura en cada una</w:t>
            </w:r>
          </w:p>
        </w:tc>
      </w:tr>
    </w:tbl>
    <w:p/>
    <w:p>
      <w:r>
        <w:rPr>
          <w:b/>
        </w:rPr>
        <w:t>Hallazgo principal.</w:t>
      </w:r>
      <w:r>
        <w:rPr>
          <w:b w:val="0"/>
        </w:rPr>
        <w:t xml:space="preserve"> El servicio es corto en toda la región: en los últimos doce meses con datos las localidades recibieron en</w:t>
      </w:r>
      <w:r>
        <w:br/>
      </w:r>
      <w:r>
        <w:rPr>
          <w:b w:val="0"/>
        </w:rPr>
        <w:t xml:space="preserve">promedio </w:t>
      </w:r>
      <w:r>
        <w:rPr>
          <w:b/>
        </w:rPr>
        <w:t>7,8 de 24 horas diarias</w:t>
      </w:r>
      <w:r>
        <w:rPr>
          <w:b w:val="0"/>
        </w:rPr>
        <w:t>, y Cauca y Nariño menos de 7. No hay una mejora generalizada entre 2020-2021 y 2024-2025.</w:t>
      </w:r>
    </w:p>
    <w:p>
      <w:r>
        <w:rPr>
          <w:b/>
        </w:rPr>
        <w:t>Advertencia principal.</w:t>
      </w:r>
      <w:r>
        <w:rPr>
          <w:b w:val="0"/>
        </w:rPr>
        <w:t xml:space="preserve"> Dos de las tres fuentes están congeladas y la principal lleva ocho periodos sin datos nuevos. Las</w:t>
      </w:r>
      <w:r>
        <w:br/>
      </w:r>
      <w:r>
        <w:rPr>
          <w:b w:val="0"/>
        </w:rPr>
        <w:t>conclusiones describen el estado a enero de 2026 y la brecha entre fuentes, no el estado actual.</w:t>
      </w:r>
    </w:p>
    <w:p>
      <w:pPr>
        <w:pStyle w:val="Heading1"/>
      </w:pPr>
      <w:r>
        <w:rPr>
          <w:b w:val="0"/>
        </w:rPr>
        <w:t>2. Contexto, usuario y problema</w:t>
      </w:r>
    </w:p>
    <w:p>
      <w:r>
        <w:rPr>
          <w:b w:val="0"/>
          <w:i/>
        </w:rPr>
        <w:t>Se mantienen sin cambios respecto al avance.</w:t>
      </w:r>
      <w:r>
        <w:rPr>
          <w:b w:val="0"/>
        </w:rPr>
        <w:t xml:space="preserve"> En las ZNI (Ley 855 de 2003) el servicio lo prestan operadores locales con plantas</w:t>
      </w:r>
      <w:r>
        <w:br/>
      </w:r>
      <w:r>
        <w:rPr>
          <w:b w:val="0"/>
        </w:rPr>
        <w:t>diésel, pequeñas centrales o sistemas solares; muchas localidades reciben solo algunas horas al día. La información está dispersa y</w:t>
      </w:r>
      <w:r>
        <w:br/>
      </w:r>
      <w:r>
        <w:rPr>
          <w:b w:val="0"/>
        </w:rPr>
        <w:t>se publica en formatos y periodicidades distintos.</w:t>
      </w:r>
    </w:p>
    <w:p>
      <w:r>
        <w:rPr>
          <w:b w:val="0"/>
        </w:rPr>
        <w:t>El usuario primario es un analista de política energética (MinEnergía / IPSE) que necesita indicadores consolidados, comparables y</w:t>
      </w:r>
      <w:r>
        <w:br/>
      </w:r>
      <w:r>
        <w:rPr>
          <w:b w:val="0"/>
        </w:rPr>
        <w:t>actualizados para priorizar inversión del FAZNI, sin acceso directo a datos crudos. Como usuarios secundarios, los operadores</w:t>
      </w:r>
      <w:r>
        <w:br/>
      </w:r>
      <w:r>
        <w:rPr>
          <w:b w:val="0"/>
        </w:rPr>
        <w:t>locales y los gobiernos municipales. El árbol del problema está en el documento de avance.</w:t>
      </w:r>
    </w:p>
    <w:p>
      <w:pPr>
        <w:pStyle w:val="Heading1"/>
      </w:pPr>
      <w:r>
        <w:rPr>
          <w:b w:val="0"/>
        </w:rPr>
        <w:t>3. Fuentes y matriz de granularidad y llaves (4.1 actualizada)</w:t>
      </w:r>
    </w:p>
    <w:p>
      <w:r>
        <w:rPr>
          <w:b w:val="0"/>
        </w:rPr>
        <w:t xml:space="preserve">La matriz del avance usaba llaves candidatas. Esta es la versión </w:t>
      </w:r>
      <w:r>
        <w:rPr>
          <w:b/>
        </w:rPr>
        <w:t>validada con los datos reales</w:t>
      </w:r>
      <w:r>
        <w:rPr>
          <w:b w:val="0"/>
        </w:rPr>
        <w:t>: ninguna unión se construyó</w:t>
      </w:r>
      <w:r>
        <w:br/>
      </w:r>
      <w:r>
        <w:rPr>
          <w:b w:val="0"/>
        </w:rPr>
        <w:t>antes de pasar las pruebas de la sección 3.2.</w:t>
      </w:r>
    </w:p>
    <w:p>
      <w:pPr>
        <w:pStyle w:val="Heading2"/>
      </w:pPr>
      <w:r>
        <w:rPr>
          <w:b w:val="0"/>
        </w:rPr>
        <w:t>3.1 Matriz de granularidad y llaves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68"/>
        <w:gridCol w:w="1968"/>
        <w:gridCol w:w="1968"/>
        <w:gridCol w:w="1968"/>
        <w:gridCol w:w="1968"/>
      </w:tblGrid>
      <w:tr>
        <w:tc>
          <w:tcPr>
            <w:tcW w:type="dxa" w:w="1968"/>
            <w:shd w:val="clear" w:color="auto" w:fill="D9E2F3"/>
          </w:tcPr>
          <w:p>
            <w:r/>
            <w:r>
              <w:rPr>
                <w:b/>
                <w:sz w:val="18"/>
              </w:rPr>
              <w:t>Fuente</w:t>
            </w:r>
          </w:p>
        </w:tc>
        <w:tc>
          <w:tcPr>
            <w:tcW w:type="dxa" w:w="1968"/>
            <w:shd w:val="clear" w:color="auto" w:fill="D9E2F3"/>
          </w:tcPr>
          <w:p>
            <w:r/>
            <w:r>
              <w:rPr>
                <w:b/>
                <w:sz w:val="18"/>
              </w:rPr>
              <w:t>Granularidad real</w:t>
            </w:r>
          </w:p>
        </w:tc>
        <w:tc>
          <w:tcPr>
            <w:tcW w:type="dxa" w:w="1968"/>
            <w:shd w:val="clear" w:color="auto" w:fill="D9E2F3"/>
          </w:tcPr>
          <w:p>
            <w:r/>
            <w:r>
              <w:rPr>
                <w:b/>
                <w:sz w:val="18"/>
              </w:rPr>
              <w:t>Llave validada (0 duplicados)</w:t>
            </w:r>
          </w:p>
        </w:tc>
        <w:tc>
          <w:tcPr>
            <w:tcW w:type="dxa" w:w="1968"/>
            <w:shd w:val="clear" w:color="auto" w:fill="D9E2F3"/>
          </w:tcPr>
          <w:p>
            <w:r/>
            <w:r>
              <w:rPr>
                <w:b/>
                <w:sz w:val="18"/>
              </w:rPr>
              <w:t>Cobertura observada (4 departamentos)</w:t>
            </w:r>
          </w:p>
        </w:tc>
        <w:tc>
          <w:tcPr>
            <w:tcW w:type="dxa" w:w="1968"/>
            <w:shd w:val="clear" w:color="auto" w:fill="D9E2F3"/>
          </w:tcPr>
          <w:p>
            <w:r/>
            <w:r>
              <w:rPr>
                <w:b/>
                <w:sz w:val="18"/>
              </w:rPr>
              <w:t>Rol en el modelo</w:t>
            </w:r>
          </w:p>
        </w:tc>
      </w:tr>
      <w:tr>
        <w:tc>
          <w:tcPr>
            <w:tcW w:type="dxa" w:w="1968"/>
          </w:tcPr>
          <w:p>
            <w:r/>
            <w:r>
              <w:rPr>
                <w:rFonts w:ascii="Consolas" w:hAnsi="Consolas"/>
                <w:b w:val="0"/>
                <w:sz w:val="18"/>
              </w:rPr>
              <w:t>prestacion</w:t>
            </w:r>
            <w:r>
              <w:rPr>
                <w:b w:val="0"/>
                <w:sz w:val="18"/>
              </w:rPr>
              <w:t xml:space="preserve"> (3ebi-d83g)</w:t>
            </w:r>
          </w:p>
        </w:tc>
        <w:tc>
          <w:tcPr>
            <w:tcW w:type="dxa" w:w="1968"/>
          </w:tcPr>
          <w:p>
            <w:r/>
            <w:r>
              <w:rPr>
                <w:b w:val="0"/>
                <w:sz w:val="18"/>
              </w:rPr>
              <w:t>Localidad × mes</w:t>
            </w:r>
          </w:p>
        </w:tc>
        <w:tc>
          <w:tcPr>
            <w:tcW w:type="dxa" w:w="1968"/>
          </w:tcPr>
          <w:p>
            <w:r/>
            <w:r>
              <w:rPr>
                <w:rFonts w:ascii="Consolas" w:hAnsi="Consolas"/>
                <w:b w:val="0"/>
                <w:sz w:val="18"/>
              </w:rPr>
              <w:t>id_localidad</w:t>
            </w:r>
            <w:r>
              <w:rPr>
                <w:b w:val="0"/>
                <w:sz w:val="18"/>
              </w:rPr>
              <w:t xml:space="preserve"> + nombre de localidad normalizado + año + mes</w:t>
            </w:r>
          </w:p>
        </w:tc>
        <w:tc>
          <w:tcPr>
            <w:tcW w:type="dxa" w:w="1968"/>
          </w:tcPr>
          <w:p>
            <w:r/>
            <w:r>
              <w:rPr>
                <w:b w:val="0"/>
                <w:sz w:val="18"/>
              </w:rPr>
              <w:t>2020-01 a 2026-01 (73 meses)</w:t>
            </w:r>
          </w:p>
        </w:tc>
        <w:tc>
          <w:tcPr>
            <w:tcW w:type="dxa" w:w="1968"/>
          </w:tcPr>
          <w:p>
            <w:r/>
            <w:r>
              <w:rPr>
                <w:b w:val="0"/>
                <w:sz w:val="18"/>
              </w:rPr>
              <w:t>Hechos: energía activa y reactiva, potencia máxima y horas de servicio. Base del modelo</w:t>
            </w:r>
          </w:p>
        </w:tc>
      </w:tr>
      <w:tr>
        <w:tc>
          <w:tcPr>
            <w:tcW w:type="dxa" w:w="1968"/>
          </w:tcPr>
          <w:p>
            <w:r/>
            <w:r>
              <w:rPr>
                <w:rFonts w:ascii="Consolas" w:hAnsi="Consolas"/>
                <w:b w:val="0"/>
                <w:sz w:val="18"/>
              </w:rPr>
              <w:t>operacion_diaria</w:t>
            </w:r>
            <w:r>
              <w:rPr>
                <w:b w:val="0"/>
                <w:sz w:val="18"/>
              </w:rPr>
              <w:t xml:space="preserve"> (qwe5-ycap)</w:t>
            </w:r>
          </w:p>
        </w:tc>
        <w:tc>
          <w:tcPr>
            <w:tcW w:type="dxa" w:w="1968"/>
          </w:tcPr>
          <w:p>
            <w:r/>
            <w:r>
              <w:rPr>
                <w:b w:val="0"/>
                <w:sz w:val="18"/>
              </w:rPr>
              <w:t>Localidad × día × generador</w:t>
            </w:r>
          </w:p>
        </w:tc>
        <w:tc>
          <w:tcPr>
            <w:tcW w:type="dxa" w:w="1968"/>
          </w:tcPr>
          <w:p>
            <w:r/>
            <w:r>
              <w:rPr>
                <w:rFonts w:ascii="Consolas" w:hAnsi="Consolas"/>
                <w:b w:val="0"/>
                <w:sz w:val="18"/>
              </w:rPr>
              <w:t>codigo_localidad</w:t>
            </w:r>
            <w:r>
              <w:rPr>
                <w:b w:val="0"/>
                <w:sz w:val="18"/>
              </w:rPr>
              <w:t xml:space="preserve"> + fecha + </w:t>
            </w:r>
            <w:r>
              <w:rPr>
                <w:rFonts w:ascii="Consolas" w:hAnsi="Consolas"/>
                <w:b w:val="0"/>
                <w:sz w:val="18"/>
              </w:rPr>
              <w:t>serie_generador</w:t>
            </w:r>
          </w:p>
        </w:tc>
        <w:tc>
          <w:tcPr>
            <w:tcW w:type="dxa" w:w="1968"/>
          </w:tcPr>
          <w:p>
            <w:r/>
            <w:r>
              <w:rPr>
                <w:b w:val="0"/>
                <w:sz w:val="18"/>
              </w:rPr>
              <w:t>2021-07 a 2022-03 (9 meses)</w:t>
            </w:r>
          </w:p>
        </w:tc>
        <w:tc>
          <w:tcPr>
            <w:tcW w:type="dxa" w:w="1968"/>
          </w:tcPr>
          <w:p>
            <w:r/>
            <w:r>
              <w:rPr>
                <w:b w:val="0"/>
                <w:sz w:val="18"/>
              </w:rPr>
              <w:t>Relación operador–localidad con vigencia observada</w:t>
            </w:r>
          </w:p>
        </w:tc>
      </w:tr>
      <w:tr>
        <w:tc>
          <w:tcPr>
            <w:tcW w:type="dxa" w:w="1968"/>
          </w:tcPr>
          <w:p>
            <w:r/>
            <w:r>
              <w:rPr>
                <w:rFonts w:ascii="Consolas" w:hAnsi="Consolas"/>
                <w:b w:val="0"/>
                <w:sz w:val="18"/>
              </w:rPr>
              <w:t>pqr</w:t>
            </w:r>
            <w:r>
              <w:rPr>
                <w:b w:val="0"/>
                <w:sz w:val="18"/>
              </w:rPr>
              <w:t xml:space="preserve"> (5wua-nr2d)</w:t>
            </w:r>
          </w:p>
        </w:tc>
        <w:tc>
          <w:tcPr>
            <w:tcW w:type="dxa" w:w="1968"/>
          </w:tcPr>
          <w:p>
            <w:r/>
            <w:r>
              <w:rPr>
                <w:b w:val="0"/>
                <w:sz w:val="18"/>
              </w:rPr>
              <w:t>Caso individual; se agrega a municipio × semestre × empresa</w:t>
            </w:r>
          </w:p>
        </w:tc>
        <w:tc>
          <w:tcPr>
            <w:tcW w:type="dxa" w:w="1968"/>
          </w:tcPr>
          <w:p>
            <w:r/>
            <w:r>
              <w:rPr>
                <w:b w:val="0"/>
                <w:sz w:val="18"/>
              </w:rPr>
              <w:t>Llave agregada: municipio + año + semestre + empresa</w:t>
            </w:r>
          </w:p>
        </w:tc>
        <w:tc>
          <w:tcPr>
            <w:tcW w:type="dxa" w:w="1968"/>
          </w:tcPr>
          <w:p>
            <w:r/>
            <w:r>
              <w:rPr>
                <w:b w:val="0"/>
                <w:sz w:val="18"/>
              </w:rPr>
              <w:t>2021-07 a 2022-06 y 2023-01 a 2023-06</w:t>
            </w:r>
          </w:p>
        </w:tc>
        <w:tc>
          <w:tcPr>
            <w:tcW w:type="dxa" w:w="1968"/>
          </w:tcPr>
          <w:p>
            <w:r/>
            <w:r>
              <w:rPr>
                <w:b w:val="0"/>
                <w:sz w:val="18"/>
              </w:rPr>
              <w:t>Hechos de PQR, solo a nivel de municipio</w:t>
            </w:r>
          </w:p>
        </w:tc>
      </w:tr>
    </w:tbl>
    <w:p/>
    <w:p>
      <w:pPr>
        <w:pStyle w:val="Heading2"/>
      </w:pPr>
      <w:r>
        <w:rPr>
          <w:b w:val="0"/>
        </w:rPr>
        <w:t xml:space="preserve">3.2 Pruebas previas a las uniones (resultados en </w:t>
      </w:r>
      <w:r>
        <w:rPr>
          <w:rFonts w:ascii="Consolas" w:hAnsi="Consolas"/>
          <w:b w:val="0"/>
          <w:sz w:val="18"/>
        </w:rPr>
        <w:t>gold.meta_uniones</w:t>
      </w:r>
      <w:r>
        <w:rPr>
          <w:b w:val="0"/>
        </w:rPr>
        <w:t>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80"/>
        <w:gridCol w:w="3280"/>
        <w:gridCol w:w="3280"/>
      </w:tblGrid>
      <w:tr>
        <w:tc>
          <w:tcPr>
            <w:tcW w:type="dxa" w:w="3280"/>
            <w:shd w:val="clear" w:color="auto" w:fill="D9E2F3"/>
          </w:tcPr>
          <w:p>
            <w:r/>
            <w:r>
              <w:rPr>
                <w:b/>
                <w:sz w:val="18"/>
              </w:rPr>
              <w:t>Prueba</w:t>
            </w:r>
          </w:p>
        </w:tc>
        <w:tc>
          <w:tcPr>
            <w:tcW w:type="dxa" w:w="3280"/>
            <w:shd w:val="clear" w:color="auto" w:fill="D9E2F3"/>
          </w:tcPr>
          <w:p>
            <w:r/>
            <w:r>
              <w:rPr>
                <w:b/>
                <w:sz w:val="18"/>
              </w:rPr>
              <w:t>Criterio</w:t>
            </w:r>
          </w:p>
        </w:tc>
        <w:tc>
          <w:tcPr>
            <w:tcW w:type="dxa" w:w="3280"/>
            <w:shd w:val="clear" w:color="auto" w:fill="D9E2F3"/>
          </w:tcPr>
          <w:p>
            <w:r/>
            <w:r>
              <w:rPr>
                <w:b/>
                <w:sz w:val="18"/>
              </w:rPr>
              <w:t>Resultado</w:t>
            </w:r>
          </w:p>
        </w:tc>
      </w:tr>
      <w:tr>
        <w:tc>
          <w:tcPr>
            <w:tcW w:type="dxa" w:w="3280"/>
          </w:tcPr>
          <w:p>
            <w:r/>
            <w:r>
              <w:rPr>
                <w:b w:val="0"/>
                <w:sz w:val="18"/>
              </w:rPr>
              <w:t>Unicidad de la llave</w:t>
            </w:r>
          </w:p>
        </w:tc>
        <w:tc>
          <w:tcPr>
            <w:tcW w:type="dxa" w:w="3280"/>
          </w:tcPr>
          <w:p>
            <w:r/>
            <w:r>
              <w:rPr>
                <w:b w:val="0"/>
                <w:sz w:val="18"/>
              </w:rPr>
              <w:t>0 duplicados</w:t>
            </w:r>
          </w:p>
        </w:tc>
        <w:tc>
          <w:tcPr>
            <w:tcW w:type="dxa" w:w="3280"/>
          </w:tcPr>
          <w:p>
            <w:r/>
            <w:r>
              <w:rPr>
                <w:b w:val="0"/>
                <w:sz w:val="18"/>
              </w:rPr>
              <w:t>Cumple en las tres fuentes (con las llaves de la tabla anterior)</w:t>
            </w:r>
          </w:p>
        </w:tc>
      </w:tr>
      <w:tr>
        <w:tc>
          <w:tcPr>
            <w:tcW w:type="dxa" w:w="3280"/>
          </w:tcPr>
          <w:p>
            <w:r/>
            <w:r>
              <w:rPr>
                <w:b w:val="0"/>
                <w:sz w:val="18"/>
              </w:rPr>
              <w:t>Validez del código DANE</w:t>
            </w:r>
          </w:p>
        </w:tc>
        <w:tc>
          <w:tcPr>
            <w:tcW w:type="dxa" w:w="3280"/>
          </w:tcPr>
          <w:p>
            <w:r/>
            <w:r>
              <w:rPr>
                <w:b w:val="0"/>
                <w:sz w:val="18"/>
              </w:rPr>
              <w:t>≥ 95 %</w:t>
            </w:r>
          </w:p>
        </w:tc>
        <w:tc>
          <w:tcPr>
            <w:tcW w:type="dxa" w:w="3280"/>
          </w:tcPr>
          <w:p>
            <w:r/>
            <w:r>
              <w:rPr>
                <w:b w:val="0"/>
                <w:sz w:val="18"/>
              </w:rPr>
              <w:t>100 % de formato y jerarquía válidos (5 dígitos de municipio; 8 de localidad)</w:t>
            </w:r>
          </w:p>
        </w:tc>
      </w:tr>
      <w:tr>
        <w:tc>
          <w:tcPr>
            <w:tcW w:type="dxa" w:w="3280"/>
          </w:tcPr>
          <w:p>
            <w:r/>
            <w:r>
              <w:rPr>
                <w:b w:val="0"/>
                <w:sz w:val="18"/>
              </w:rPr>
              <w:t>Cruce entre fuentes</w:t>
            </w:r>
          </w:p>
        </w:tc>
        <w:tc>
          <w:tcPr>
            <w:tcW w:type="dxa" w:w="3280"/>
          </w:tcPr>
          <w:p>
            <w:r/>
            <w:r>
              <w:rPr>
                <w:b w:val="0"/>
                <w:sz w:val="18"/>
              </w:rPr>
              <w:t>% sin cruce documentado</w:t>
            </w:r>
          </w:p>
        </w:tc>
        <w:tc>
          <w:tcPr>
            <w:tcW w:type="dxa" w:w="3280"/>
          </w:tcPr>
          <w:p>
            <w:r/>
            <w:r>
              <w:rPr>
                <w:b w:val="0"/>
                <w:sz w:val="18"/>
              </w:rPr>
              <w:t>47,95 % de localidades de prestación sin operador enlazable; 55,56 % de municipio-semestre de prestación sin PQR; 25 % de municipios de operación diaria sin PQR</w:t>
            </w:r>
          </w:p>
        </w:tc>
      </w:tr>
      <w:tr>
        <w:tc>
          <w:tcPr>
            <w:tcW w:type="dxa" w:w="3280"/>
          </w:tcPr>
          <w:p>
            <w:r/>
            <w:r>
              <w:rPr>
                <w:b w:val="0"/>
                <w:sz w:val="18"/>
              </w:rPr>
              <w:t>Identificador de empresa común</w:t>
            </w:r>
          </w:p>
        </w:tc>
        <w:tc>
          <w:tcPr>
            <w:tcW w:type="dxa" w:w="3280"/>
          </w:tcPr>
          <w:p>
            <w:r/>
            <w:r>
              <w:rPr>
                <w:b w:val="0"/>
                <w:sz w:val="18"/>
              </w:rPr>
              <w:t>≥ 95 % de coincidencia</w:t>
            </w:r>
          </w:p>
        </w:tc>
        <w:tc>
          <w:tcPr>
            <w:tcW w:type="dxa" w:w="3280"/>
          </w:tcPr>
          <w:p>
            <w:r/>
            <w:r>
              <w:rPr>
                <w:b/>
                <w:sz w:val="18"/>
              </w:rPr>
              <w:t>0 %: no cumple.</w:t>
            </w:r>
            <w:r>
              <w:rPr>
                <w:b w:val="0"/>
                <w:sz w:val="18"/>
              </w:rPr>
              <w:t xml:space="preserve"> La unión operador–PQR se limita al municipio, como preveía la regla de respaldo del diseño</w:t>
            </w:r>
          </w:p>
        </w:tc>
      </w:tr>
      <w:tr>
        <w:tc>
          <w:tcPr>
            <w:tcW w:type="dxa" w:w="3280"/>
          </w:tcPr>
          <w:p>
            <w:r/>
            <w:r>
              <w:rPr>
                <w:b w:val="0"/>
                <w:sz w:val="18"/>
              </w:rPr>
              <w:t>Cardinalidad</w:t>
            </w:r>
          </w:p>
        </w:tc>
        <w:tc>
          <w:tcPr>
            <w:tcW w:type="dxa" w:w="3280"/>
          </w:tcPr>
          <w:p>
            <w:r/>
            <w:r>
              <w:rPr>
                <w:b w:val="0"/>
                <w:sz w:val="18"/>
              </w:rPr>
              <w:t>Observada frente a esperada</w:t>
            </w:r>
          </w:p>
        </w:tc>
        <w:tc>
          <w:tcPr>
            <w:tcW w:type="dxa" w:w="3280"/>
          </w:tcPr>
          <w:p>
            <w:r/>
            <w:r>
              <w:rPr>
                <w:b w:val="0"/>
                <w:sz w:val="18"/>
              </w:rPr>
              <w:t>Hasta 2 operadores por localidad-mes y hasta 6 empresas por municipio-semestre; ambos casos se tratan antes de unir</w:t>
            </w:r>
          </w:p>
        </w:tc>
      </w:tr>
    </w:tbl>
    <w:p/>
    <w:p>
      <w:pPr>
        <w:pStyle w:val="Heading2"/>
      </w:pPr>
      <w:r>
        <w:rPr>
          <w:b w:val="0"/>
        </w:rPr>
        <w:t>3.3 Uniones: lo previsto y lo construido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80"/>
        <w:gridCol w:w="3280"/>
        <w:gridCol w:w="3280"/>
      </w:tblGrid>
      <w:tr>
        <w:tc>
          <w:tcPr>
            <w:tcW w:type="dxa" w:w="3280"/>
            <w:shd w:val="clear" w:color="auto" w:fill="D9E2F3"/>
          </w:tcPr>
          <w:p>
            <w:r/>
            <w:r>
              <w:rPr>
                <w:b/>
                <w:sz w:val="18"/>
              </w:rPr>
              <w:t>Unión</w:t>
            </w:r>
          </w:p>
        </w:tc>
        <w:tc>
          <w:tcPr>
            <w:tcW w:type="dxa" w:w="3280"/>
            <w:shd w:val="clear" w:color="auto" w:fill="D9E2F3"/>
          </w:tcPr>
          <w:p>
            <w:r/>
            <w:r>
              <w:rPr>
                <w:b/>
                <w:sz w:val="18"/>
              </w:rPr>
              <w:t>Previsto</w:t>
            </w:r>
          </w:p>
        </w:tc>
        <w:tc>
          <w:tcPr>
            <w:tcW w:type="dxa" w:w="3280"/>
            <w:shd w:val="clear" w:color="auto" w:fill="D9E2F3"/>
          </w:tcPr>
          <w:p>
            <w:r/>
            <w:r>
              <w:rPr>
                <w:b/>
                <w:sz w:val="18"/>
              </w:rPr>
              <w:t>Construido</w:t>
            </w:r>
          </w:p>
        </w:tc>
      </w:tr>
      <w:tr>
        <w:tc>
          <w:tcPr>
            <w:tcW w:type="dxa" w:w="3280"/>
          </w:tcPr>
          <w:p>
            <w:r/>
            <w:r>
              <w:rPr>
                <w:b w:val="0"/>
                <w:sz w:val="18"/>
              </w:rPr>
              <w:t>Prestación ↔ operación diaria</w:t>
            </w:r>
          </w:p>
        </w:tc>
        <w:tc>
          <w:tcPr>
            <w:tcW w:type="dxa" w:w="3280"/>
          </w:tcPr>
          <w:p>
            <w:r/>
            <w:r>
              <w:rPr>
                <w:b w:val="0"/>
                <w:sz w:val="18"/>
              </w:rPr>
              <w:t>Localidad + mes</w:t>
            </w:r>
          </w:p>
        </w:tc>
        <w:tc>
          <w:tcPr>
            <w:tcW w:type="dxa" w:w="3280"/>
          </w:tcPr>
          <w:p>
            <w:r/>
            <w:r>
              <w:rPr>
                <w:b/>
                <w:sz w:val="18"/>
              </w:rPr>
              <w:t>Implementada con tratamiento.</w:t>
            </w:r>
            <w:r>
              <w:rPr>
                <w:b w:val="0"/>
                <w:sz w:val="18"/>
              </w:rPr>
              <w:t xml:space="preserve"> Se une por los primeros 8 dígitos del código de localidad cuando el centro poblado no es </w:t>
            </w:r>
            <w:r>
              <w:rPr>
                <w:rFonts w:ascii="Consolas" w:hAnsi="Consolas"/>
                <w:b w:val="0"/>
                <w:sz w:val="18"/>
              </w:rPr>
              <w:t>000</w:t>
            </w:r>
            <w:r>
              <w:rPr>
                <w:b w:val="0"/>
                <w:sz w:val="18"/>
              </w:rPr>
              <w:t>: 38 de las 73 localidades y 9 meses. Con 2 operadores en un mes se asigna el de mayor energía generada</w:t>
            </w:r>
          </w:p>
        </w:tc>
      </w:tr>
      <w:tr>
        <w:tc>
          <w:tcPr>
            <w:tcW w:type="dxa" w:w="3280"/>
          </w:tcPr>
          <w:p>
            <w:r/>
            <w:r>
              <w:rPr>
                <w:b w:val="0"/>
                <w:sz w:val="18"/>
              </w:rPr>
              <w:t>Prestación ↔ PQR</w:t>
            </w:r>
          </w:p>
        </w:tc>
        <w:tc>
          <w:tcPr>
            <w:tcW w:type="dxa" w:w="3280"/>
          </w:tcPr>
          <w:p>
            <w:r/>
            <w:r>
              <w:rPr>
                <w:b w:val="0"/>
                <w:sz w:val="18"/>
              </w:rPr>
              <w:t>Municipio + semestre</w:t>
            </w:r>
          </w:p>
        </w:tc>
        <w:tc>
          <w:tcPr>
            <w:tcW w:type="dxa" w:w="3280"/>
          </w:tcPr>
          <w:p>
            <w:r/>
            <w:r>
              <w:rPr>
                <w:b/>
                <w:sz w:val="18"/>
              </w:rPr>
              <w:t>Implementada.</w:t>
            </w:r>
            <w:r>
              <w:rPr>
                <w:b w:val="0"/>
                <w:sz w:val="18"/>
              </w:rPr>
              <w:t xml:space="preserve"> La PQR se agrega por municipio-semestre antes de unir y nunca se asigna a una localidad</w:t>
            </w:r>
          </w:p>
        </w:tc>
      </w:tr>
      <w:tr>
        <w:tc>
          <w:tcPr>
            <w:tcW w:type="dxa" w:w="3280"/>
          </w:tcPr>
          <w:p>
            <w:r/>
            <w:r>
              <w:rPr>
                <w:b w:val="0"/>
                <w:sz w:val="18"/>
              </w:rPr>
              <w:t>Operación diaria ↔ PQR</w:t>
            </w:r>
          </w:p>
        </w:tc>
        <w:tc>
          <w:tcPr>
            <w:tcW w:type="dxa" w:w="3280"/>
          </w:tcPr>
          <w:p>
            <w:r/>
            <w:r>
              <w:rPr>
                <w:b w:val="0"/>
                <w:sz w:val="18"/>
              </w:rPr>
              <w:t>Municipio + empresa</w:t>
            </w:r>
          </w:p>
        </w:tc>
        <w:tc>
          <w:tcPr>
            <w:tcW w:type="dxa" w:w="3280"/>
          </w:tcPr>
          <w:p>
            <w:r/>
            <w:r>
              <w:rPr>
                <w:b/>
                <w:sz w:val="18"/>
              </w:rPr>
              <w:t>No implementada por empresa</w:t>
            </w:r>
            <w:r>
              <w:rPr>
                <w:b w:val="0"/>
                <w:sz w:val="18"/>
              </w:rPr>
              <w:t xml:space="preserve"> (0 % de identificadores comunes). Solo municipio</w:t>
            </w:r>
          </w:p>
        </w:tc>
      </w:tr>
    </w:tbl>
    <w:p/>
    <w:p>
      <w:r>
        <w:rPr>
          <w:b w:val="0"/>
        </w:rPr>
        <w:t>Se mantiene la regla de no unir nunca por nombre en texto libre ni asignar PQR a localidades individuales.</w:t>
      </w:r>
    </w:p>
    <w:p>
      <w:pPr>
        <w:pStyle w:val="Heading1"/>
      </w:pPr>
      <w:r>
        <w:rPr>
          <w:b w:val="0"/>
        </w:rPr>
        <w:t>4. Política de frescura</w:t>
      </w:r>
    </w:p>
    <w:p>
      <w:r>
        <w:rPr>
          <w:b w:val="0"/>
        </w:rPr>
        <w:t xml:space="preserve">La política del avance se aplicó con las fechas de corte </w:t>
      </w:r>
      <w:r>
        <w:rPr>
          <w:b/>
        </w:rPr>
        <w:t>observadas</w:t>
      </w:r>
      <w:r>
        <w:rPr>
          <w:b w:val="0"/>
        </w:rPr>
        <w:t xml:space="preserve"> en los datos, no con las del portal.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68"/>
        <w:gridCol w:w="1968"/>
        <w:gridCol w:w="1968"/>
        <w:gridCol w:w="1968"/>
        <w:gridCol w:w="1968"/>
      </w:tblGrid>
      <w:tr>
        <w:tc>
          <w:tcPr>
            <w:tcW w:type="dxa" w:w="1968"/>
            <w:shd w:val="clear" w:color="auto" w:fill="D9E2F3"/>
          </w:tcPr>
          <w:p>
            <w:r/>
            <w:r>
              <w:rPr>
                <w:b/>
                <w:sz w:val="18"/>
              </w:rPr>
              <w:t>Fuente</w:t>
            </w:r>
          </w:p>
        </w:tc>
        <w:tc>
          <w:tcPr>
            <w:tcW w:type="dxa" w:w="1968"/>
            <w:shd w:val="clear" w:color="auto" w:fill="D9E2F3"/>
          </w:tcPr>
          <w:p>
            <w:r/>
            <w:r>
              <w:rPr>
                <w:b/>
                <w:sz w:val="18"/>
              </w:rPr>
              <w:t>Último periodo con datos</w:t>
            </w:r>
          </w:p>
        </w:tc>
        <w:tc>
          <w:tcPr>
            <w:tcW w:type="dxa" w:w="1968"/>
            <w:shd w:val="clear" w:color="auto" w:fill="D9E2F3"/>
          </w:tcPr>
          <w:p>
            <w:r/>
            <w:r>
              <w:rPr>
                <w:b/>
                <w:sz w:val="18"/>
              </w:rPr>
              <w:t>Fecha de corte</w:t>
            </w:r>
          </w:p>
        </w:tc>
        <w:tc>
          <w:tcPr>
            <w:tcW w:type="dxa" w:w="1968"/>
            <w:shd w:val="clear" w:color="auto" w:fill="D9E2F3"/>
          </w:tcPr>
          <w:p>
            <w:r/>
            <w:r>
              <w:rPr>
                <w:b/>
                <w:sz w:val="18"/>
              </w:rPr>
              <w:t>Retraso a 2026-09-30</w:t>
            </w:r>
          </w:p>
        </w:tc>
        <w:tc>
          <w:tcPr>
            <w:tcW w:type="dxa" w:w="1968"/>
            <w:shd w:val="clear" w:color="auto" w:fill="D9E2F3"/>
          </w:tcPr>
          <w:p>
            <w:r/>
            <w:r>
              <w:rPr>
                <w:b/>
                <w:sz w:val="18"/>
              </w:rPr>
              <w:t>Estado</w:t>
            </w:r>
          </w:p>
        </w:tc>
      </w:tr>
      <w:tr>
        <w:tc>
          <w:tcPr>
            <w:tcW w:type="dxa" w:w="1968"/>
          </w:tcPr>
          <w:p>
            <w:r/>
            <w:r>
              <w:rPr>
                <w:rFonts w:ascii="Consolas" w:hAnsi="Consolas"/>
                <w:b w:val="0"/>
                <w:sz w:val="18"/>
              </w:rPr>
              <w:t>prestacion</w:t>
            </w:r>
          </w:p>
        </w:tc>
        <w:tc>
          <w:tcPr>
            <w:tcW w:type="dxa" w:w="1968"/>
          </w:tcPr>
          <w:p>
            <w:r/>
            <w:r>
              <w:rPr>
                <w:b w:val="0"/>
                <w:sz w:val="18"/>
              </w:rPr>
              <w:t>2026-01</w:t>
            </w:r>
          </w:p>
        </w:tc>
        <w:tc>
          <w:tcPr>
            <w:tcW w:type="dxa" w:w="1968"/>
          </w:tcPr>
          <w:p>
            <w:r/>
            <w:r>
              <w:rPr>
                <w:b w:val="0"/>
                <w:sz w:val="18"/>
              </w:rPr>
              <w:t>2026-01-31</w:t>
            </w:r>
          </w:p>
        </w:tc>
        <w:tc>
          <w:tcPr>
            <w:tcW w:type="dxa" w:w="1968"/>
          </w:tcPr>
          <w:p>
            <w:r/>
            <w:r>
              <w:rPr>
                <w:b w:val="0"/>
                <w:sz w:val="18"/>
              </w:rPr>
              <w:t>8 periodos</w:t>
            </w:r>
          </w:p>
        </w:tc>
        <w:tc>
          <w:tcPr>
            <w:tcW w:type="dxa" w:w="1968"/>
          </w:tcPr>
          <w:p>
            <w:r/>
            <w:r>
              <w:rPr>
                <w:b w:val="0"/>
                <w:sz w:val="18"/>
              </w:rPr>
              <w:t>Desactualizada</w:t>
            </w:r>
          </w:p>
        </w:tc>
      </w:tr>
      <w:tr>
        <w:tc>
          <w:tcPr>
            <w:tcW w:type="dxa" w:w="1968"/>
          </w:tcPr>
          <w:p>
            <w:r/>
            <w:r>
              <w:rPr>
                <w:rFonts w:ascii="Consolas" w:hAnsi="Consolas"/>
                <w:b w:val="0"/>
                <w:sz w:val="18"/>
              </w:rPr>
              <w:t>operacion_diaria</w:t>
            </w:r>
          </w:p>
        </w:tc>
        <w:tc>
          <w:tcPr>
            <w:tcW w:type="dxa" w:w="1968"/>
          </w:tcPr>
          <w:p>
            <w:r/>
            <w:r>
              <w:rPr>
                <w:b w:val="0"/>
                <w:sz w:val="18"/>
              </w:rPr>
              <w:t>2022-03</w:t>
            </w:r>
          </w:p>
        </w:tc>
        <w:tc>
          <w:tcPr>
            <w:tcW w:type="dxa" w:w="1968"/>
          </w:tcPr>
          <w:p>
            <w:r/>
            <w:r>
              <w:rPr>
                <w:b w:val="0"/>
                <w:sz w:val="18"/>
              </w:rPr>
              <w:t>2022-03-31</w:t>
            </w:r>
          </w:p>
        </w:tc>
        <w:tc>
          <w:tcPr>
            <w:tcW w:type="dxa" w:w="1968"/>
          </w:tcPr>
          <w:p>
            <w:r/>
            <w:r>
              <w:rPr>
                <w:b w:val="0"/>
                <w:sz w:val="18"/>
              </w:rPr>
              <w:t>9 periodos</w:t>
            </w:r>
          </w:p>
        </w:tc>
        <w:tc>
          <w:tcPr>
            <w:tcW w:type="dxa" w:w="1968"/>
          </w:tcPr>
          <w:p>
            <w:r/>
            <w:r>
              <w:rPr>
                <w:b w:val="0"/>
                <w:sz w:val="18"/>
              </w:rPr>
              <w:t>Congelada</w:t>
            </w:r>
          </w:p>
        </w:tc>
      </w:tr>
      <w:tr>
        <w:tc>
          <w:tcPr>
            <w:tcW w:type="dxa" w:w="1968"/>
          </w:tcPr>
          <w:p>
            <w:r/>
            <w:r>
              <w:rPr>
                <w:rFonts w:ascii="Consolas" w:hAnsi="Consolas"/>
                <w:b w:val="0"/>
                <w:sz w:val="18"/>
              </w:rPr>
              <w:t>pqr</w:t>
            </w:r>
          </w:p>
        </w:tc>
        <w:tc>
          <w:tcPr>
            <w:tcW w:type="dxa" w:w="1968"/>
          </w:tcPr>
          <w:p>
            <w:r/>
            <w:r>
              <w:rPr>
                <w:b w:val="0"/>
                <w:sz w:val="18"/>
              </w:rPr>
              <w:t>2023-06</w:t>
            </w:r>
          </w:p>
        </w:tc>
        <w:tc>
          <w:tcPr>
            <w:tcW w:type="dxa" w:w="1968"/>
          </w:tcPr>
          <w:p>
            <w:r/>
            <w:r>
              <w:rPr>
                <w:b w:val="0"/>
                <w:sz w:val="18"/>
              </w:rPr>
              <w:t>2023-06-30</w:t>
            </w:r>
          </w:p>
        </w:tc>
        <w:tc>
          <w:tcPr>
            <w:tcW w:type="dxa" w:w="1968"/>
          </w:tcPr>
          <w:p>
            <w:r/>
            <w:r>
              <w:rPr>
                <w:b w:val="0"/>
                <w:sz w:val="18"/>
              </w:rPr>
              <w:t>6,5 periodos</w:t>
            </w:r>
          </w:p>
        </w:tc>
        <w:tc>
          <w:tcPr>
            <w:tcW w:type="dxa" w:w="1968"/>
          </w:tcPr>
          <w:p>
            <w:r/>
            <w:r>
              <w:rPr>
                <w:b w:val="0"/>
                <w:sz w:val="18"/>
              </w:rPr>
              <w:t>Congelada</w:t>
            </w:r>
          </w:p>
        </w:tc>
      </w:tr>
    </w:tbl>
    <w:p/>
    <w:p>
      <w:r>
        <w:rPr>
          <w:b w:val="0"/>
        </w:rPr>
        <w:t xml:space="preserve">Cada registro de gold lleva </w:t>
      </w:r>
      <w:r>
        <w:rPr>
          <w:rFonts w:ascii="Consolas" w:hAnsi="Consolas"/>
          <w:b w:val="0"/>
          <w:sz w:val="18"/>
        </w:rPr>
        <w:t>fecha_corte_fuente</w:t>
      </w:r>
      <w:r>
        <w:rPr>
          <w:b w:val="0"/>
        </w:rPr>
        <w:t xml:space="preserve">, </w:t>
      </w:r>
      <w:r>
        <w:rPr>
          <w:rFonts w:ascii="Consolas" w:hAnsi="Consolas"/>
          <w:b w:val="0"/>
          <w:sz w:val="18"/>
        </w:rPr>
        <w:t>estado_frescura</w:t>
      </w:r>
      <w:r>
        <w:rPr>
          <w:b w:val="0"/>
        </w:rPr>
        <w:t xml:space="preserve"> y </w:t>
      </w:r>
      <w:r>
        <w:rPr>
          <w:rFonts w:ascii="Consolas" w:hAnsi="Consolas"/>
          <w:b w:val="0"/>
          <w:sz w:val="18"/>
        </w:rPr>
        <w:t>es_comparable</w:t>
      </w:r>
      <w:r>
        <w:rPr>
          <w:b w:val="0"/>
        </w:rPr>
        <w:t>. Los periodos no comparables **se marcan y no se</w:t>
      </w:r>
      <w:r>
        <w:br/>
      </w:r>
      <w:r>
        <w:rPr>
          <w:b w:val="0"/>
        </w:rPr>
        <w:t>descartan**. El tablero muestra la advertencia de cada fuente en cada página.</w:t>
      </w:r>
    </w:p>
    <w:p>
      <w:pPr>
        <w:pStyle w:val="Heading1"/>
      </w:pPr>
      <w:r>
        <w:rPr>
          <w:b w:val="0"/>
        </w:rPr>
        <w:t>5. Arquitectura y herramientas</w:t>
      </w:r>
    </w:p>
    <w:p>
      <w:r>
        <w:rPr>
          <w:rFonts w:ascii="Consolas" w:hAnsi="Consolas"/>
          <w:sz w:val="17"/>
        </w:rPr>
        <w:t>API Socrata → perfilar → extract (bronze) → silver → gold → load (PostgreSQL) → Power BI</w:t>
        <w:br/>
        <w:t xml:space="preserve">                                                     └→ eda (Matplotlib, cuaderno)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80"/>
        <w:gridCol w:w="3280"/>
        <w:gridCol w:w="3280"/>
      </w:tblGrid>
      <w:tr>
        <w:tc>
          <w:tcPr>
            <w:tcW w:type="dxa" w:w="3280"/>
            <w:shd w:val="clear" w:color="auto" w:fill="D9E2F3"/>
          </w:tcPr>
          <w:p>
            <w:r/>
            <w:r>
              <w:rPr>
                <w:b/>
                <w:sz w:val="18"/>
              </w:rPr>
              <w:t>Etapa</w:t>
            </w:r>
          </w:p>
        </w:tc>
        <w:tc>
          <w:tcPr>
            <w:tcW w:type="dxa" w:w="3280"/>
            <w:shd w:val="clear" w:color="auto" w:fill="D9E2F3"/>
          </w:tcPr>
          <w:p>
            <w:r/>
            <w:r>
              <w:rPr>
                <w:b/>
                <w:sz w:val="18"/>
              </w:rPr>
              <w:t>Herramienta</w:t>
            </w:r>
          </w:p>
        </w:tc>
        <w:tc>
          <w:tcPr>
            <w:tcW w:type="dxa" w:w="3280"/>
            <w:shd w:val="clear" w:color="auto" w:fill="D9E2F3"/>
          </w:tcPr>
          <w:p>
            <w:r/>
            <w:r>
              <w:rPr>
                <w:b/>
                <w:sz w:val="18"/>
              </w:rPr>
              <w:t>Uso real</w:t>
            </w:r>
          </w:p>
        </w:tc>
      </w:tr>
      <w:tr>
        <w:tc>
          <w:tcPr>
            <w:tcW w:type="dxa" w:w="3280"/>
          </w:tcPr>
          <w:p>
            <w:r/>
            <w:r>
              <w:rPr>
                <w:b w:val="0"/>
                <w:sz w:val="18"/>
              </w:rPr>
              <w:t>Extracción</w:t>
            </w:r>
          </w:p>
        </w:tc>
        <w:tc>
          <w:tcPr>
            <w:tcW w:type="dxa" w:w="3280"/>
          </w:tcPr>
          <w:p>
            <w:r/>
            <w:r>
              <w:rPr>
                <w:b w:val="0"/>
                <w:sz w:val="18"/>
              </w:rPr>
              <w:t xml:space="preserve">Socrata API (SoQL), </w:t>
            </w:r>
            <w:r>
              <w:rPr>
                <w:rFonts w:ascii="Consolas" w:hAnsi="Consolas"/>
                <w:b w:val="0"/>
                <w:sz w:val="18"/>
              </w:rPr>
              <w:t>requests</w:t>
            </w:r>
          </w:p>
        </w:tc>
        <w:tc>
          <w:tcPr>
            <w:tcW w:type="dxa" w:w="3280"/>
          </w:tcPr>
          <w:p>
            <w:r/>
            <w:r>
              <w:rPr>
                <w:b w:val="0"/>
                <w:sz w:val="18"/>
              </w:rPr>
              <w:t xml:space="preserve">Paginación con </w:t>
            </w:r>
            <w:r>
              <w:rPr>
                <w:rFonts w:ascii="Consolas" w:hAnsi="Consolas"/>
                <w:b w:val="0"/>
                <w:sz w:val="18"/>
              </w:rPr>
              <w:t>$order=:id</w:t>
            </w:r>
            <w:r>
              <w:rPr>
                <w:b w:val="0"/>
                <w:sz w:val="18"/>
              </w:rPr>
              <w:t>, reintentos con espera creciente, token opcional y respaldo local por CSV/XLSX</w:t>
            </w:r>
          </w:p>
        </w:tc>
      </w:tr>
      <w:tr>
        <w:tc>
          <w:tcPr>
            <w:tcW w:type="dxa" w:w="3280"/>
          </w:tcPr>
          <w:p>
            <w:r/>
            <w:r>
              <w:rPr>
                <w:b w:val="0"/>
                <w:sz w:val="18"/>
              </w:rPr>
              <w:t>Transformación</w:t>
            </w:r>
          </w:p>
        </w:tc>
        <w:tc>
          <w:tcPr>
            <w:tcW w:type="dxa" w:w="3280"/>
          </w:tcPr>
          <w:p>
            <w:r/>
            <w:r>
              <w:rPr>
                <w:b w:val="0"/>
                <w:sz w:val="18"/>
              </w:rPr>
              <w:t>Python y pandas</w:t>
            </w:r>
          </w:p>
        </w:tc>
        <w:tc>
          <w:tcPr>
            <w:tcW w:type="dxa" w:w="3280"/>
          </w:tcPr>
          <w:p>
            <w:r/>
            <w:r>
              <w:rPr>
                <w:b w:val="0"/>
                <w:sz w:val="18"/>
              </w:rPr>
              <w:t>Tipos, códigos DANE, filtro por departamento, deduplicación exacta, 4 o más reglas registradas por registro, validación de plausibilidad</w:t>
            </w:r>
          </w:p>
        </w:tc>
      </w:tr>
      <w:tr>
        <w:tc>
          <w:tcPr>
            <w:tcW w:type="dxa" w:w="3280"/>
          </w:tcPr>
          <w:p>
            <w:r/>
            <w:r>
              <w:rPr>
                <w:b w:val="0"/>
                <w:sz w:val="18"/>
              </w:rPr>
              <w:t>Almacenamiento</w:t>
            </w:r>
          </w:p>
        </w:tc>
        <w:tc>
          <w:tcPr>
            <w:tcW w:type="dxa" w:w="3280"/>
          </w:tcPr>
          <w:p>
            <w:r/>
            <w:r>
              <w:rPr>
                <w:b w:val="0"/>
                <w:sz w:val="18"/>
              </w:rPr>
              <w:t>PostgreSQL, SQLAlchemy</w:t>
            </w:r>
          </w:p>
        </w:tc>
        <w:tc>
          <w:tcPr>
            <w:tcW w:type="dxa" w:w="3280"/>
          </w:tcPr>
          <w:p>
            <w:r/>
            <w:r>
              <w:rPr>
                <w:b w:val="0"/>
                <w:sz w:val="18"/>
              </w:rPr>
              <w:t xml:space="preserve">Esquemas </w:t>
            </w:r>
            <w:r>
              <w:rPr>
                <w:rFonts w:ascii="Consolas" w:hAnsi="Consolas"/>
                <w:b w:val="0"/>
                <w:sz w:val="18"/>
              </w:rPr>
              <w:t>gold</w:t>
            </w:r>
            <w:r>
              <w:rPr>
                <w:b w:val="0"/>
                <w:sz w:val="18"/>
              </w:rPr>
              <w:t xml:space="preserve"> y </w:t>
            </w:r>
            <w:r>
              <w:rPr>
                <w:rFonts w:ascii="Consolas" w:hAnsi="Consolas"/>
                <w:b w:val="0"/>
                <w:sz w:val="18"/>
              </w:rPr>
              <w:t>silver</w:t>
            </w:r>
            <w:r>
              <w:rPr>
                <w:b w:val="0"/>
                <w:sz w:val="18"/>
              </w:rPr>
              <w:t>, carga idempotente, llaves e índices, verificación de conteos</w:t>
            </w:r>
          </w:p>
        </w:tc>
      </w:tr>
      <w:tr>
        <w:tc>
          <w:tcPr>
            <w:tcW w:type="dxa" w:w="3280"/>
          </w:tcPr>
          <w:p>
            <w:r/>
            <w:r>
              <w:rPr>
                <w:b w:val="0"/>
                <w:sz w:val="18"/>
              </w:rPr>
              <w:t>Orquestación</w:t>
            </w:r>
          </w:p>
        </w:tc>
        <w:tc>
          <w:tcPr>
            <w:tcW w:type="dxa" w:w="3280"/>
          </w:tcPr>
          <w:p>
            <w:r/>
            <w:r>
              <w:rPr>
                <w:rFonts w:ascii="Consolas" w:hAnsi="Consolas"/>
                <w:b w:val="0"/>
                <w:sz w:val="18"/>
              </w:rPr>
              <w:t>main.py</w:t>
            </w:r>
          </w:p>
        </w:tc>
        <w:tc>
          <w:tcPr>
            <w:tcW w:type="dxa" w:w="3280"/>
          </w:tcPr>
          <w:p>
            <w:r/>
            <w:r>
              <w:rPr>
                <w:b w:val="0"/>
                <w:sz w:val="18"/>
              </w:rPr>
              <w:t xml:space="preserve">Etapas encadenadas con errores controlados, registro en </w:t>
            </w:r>
            <w:r>
              <w:rPr>
                <w:rFonts w:ascii="Consolas" w:hAnsi="Consolas"/>
                <w:b w:val="0"/>
                <w:sz w:val="18"/>
              </w:rPr>
              <w:t>logs/pipeline.log</w:t>
            </w:r>
            <w:r>
              <w:rPr>
                <w:b w:val="0"/>
                <w:sz w:val="18"/>
              </w:rPr>
              <w:t xml:space="preserve"> y código de salida 0/1</w:t>
            </w:r>
          </w:p>
        </w:tc>
      </w:tr>
      <w:tr>
        <w:tc>
          <w:tcPr>
            <w:tcW w:type="dxa" w:w="3280"/>
          </w:tcPr>
          <w:p>
            <w:r/>
            <w:r>
              <w:rPr>
                <w:b w:val="0"/>
                <w:sz w:val="18"/>
              </w:rPr>
              <w:t>Visualización</w:t>
            </w:r>
          </w:p>
        </w:tc>
        <w:tc>
          <w:tcPr>
            <w:tcW w:type="dxa" w:w="3280"/>
          </w:tcPr>
          <w:p>
            <w:r/>
            <w:r>
              <w:rPr>
                <w:b w:val="0"/>
                <w:sz w:val="18"/>
              </w:rPr>
              <w:t>Power BI</w:t>
            </w:r>
          </w:p>
        </w:tc>
        <w:tc>
          <w:tcPr>
            <w:tcW w:type="dxa" w:w="3280"/>
          </w:tcPr>
          <w:p>
            <w:r/>
            <w:r>
              <w:rPr>
                <w:b w:val="0"/>
                <w:sz w:val="18"/>
              </w:rPr>
              <w:t>Siete páginas; ver sección 9</w:t>
            </w:r>
          </w:p>
        </w:tc>
      </w:tr>
      <w:tr>
        <w:tc>
          <w:tcPr>
            <w:tcW w:type="dxa" w:w="3280"/>
          </w:tcPr>
          <w:p>
            <w:r/>
            <w:r>
              <w:rPr>
                <w:b w:val="0"/>
                <w:sz w:val="18"/>
              </w:rPr>
              <w:t>Calidad</w:t>
            </w:r>
          </w:p>
        </w:tc>
        <w:tc>
          <w:tcPr>
            <w:tcW w:type="dxa" w:w="3280"/>
          </w:tcPr>
          <w:p>
            <w:r/>
            <w:r>
              <w:rPr>
                <w:b w:val="0"/>
                <w:sz w:val="18"/>
              </w:rPr>
              <w:t>pytest</w:t>
            </w:r>
          </w:p>
        </w:tc>
        <w:tc>
          <w:tcPr>
            <w:tcW w:type="dxa" w:w="3280"/>
          </w:tcPr>
          <w:p>
            <w:r/>
            <w:r>
              <w:rPr>
                <w:b w:val="0"/>
                <w:sz w:val="18"/>
              </w:rPr>
              <w:t>220 pruebas sin red, con pruebas de mutación</w:t>
            </w:r>
          </w:p>
        </w:tc>
      </w:tr>
    </w:tbl>
    <w:p/>
    <w:p>
      <w:pPr>
        <w:pStyle w:val="Heading1"/>
      </w:pPr>
      <w:r>
        <w:rPr>
          <w:b w:val="0"/>
        </w:rPr>
        <w:t>6. OKR y KPI: cumplimiento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60"/>
        <w:gridCol w:w="2460"/>
        <w:gridCol w:w="2460"/>
        <w:gridCol w:w="2460"/>
      </w:tblGrid>
      <w:tr>
        <w:tc>
          <w:tcPr>
            <w:tcW w:type="dxa" w:w="2460"/>
            <w:shd w:val="clear" w:color="auto" w:fill="D9E2F3"/>
          </w:tcPr>
          <w:p>
            <w:r/>
            <w:r>
              <w:rPr>
                <w:b/>
                <w:sz w:val="18"/>
              </w:rPr>
              <w:t>KR</w:t>
            </w:r>
          </w:p>
        </w:tc>
        <w:tc>
          <w:tcPr>
            <w:tcW w:type="dxa" w:w="2460"/>
            <w:shd w:val="clear" w:color="auto" w:fill="D9E2F3"/>
          </w:tcPr>
          <w:p>
            <w:r/>
            <w:r>
              <w:rPr>
                <w:b/>
                <w:sz w:val="18"/>
              </w:rPr>
              <w:t>Meta</w:t>
            </w:r>
          </w:p>
        </w:tc>
        <w:tc>
          <w:tcPr>
            <w:tcW w:type="dxa" w:w="2460"/>
            <w:shd w:val="clear" w:color="auto" w:fill="D9E2F3"/>
          </w:tcPr>
          <w:p>
            <w:r/>
            <w:r>
              <w:rPr>
                <w:b/>
                <w:sz w:val="18"/>
              </w:rPr>
              <w:t>Fecha</w:t>
            </w:r>
          </w:p>
        </w:tc>
        <w:tc>
          <w:tcPr>
            <w:tcW w:type="dxa" w:w="2460"/>
            <w:shd w:val="clear" w:color="auto" w:fill="D9E2F3"/>
          </w:tcPr>
          <w:p>
            <w:r/>
            <w:r>
              <w:rPr>
                <w:b/>
                <w:sz w:val="18"/>
              </w:rPr>
              <w:t>Resultado</w:t>
            </w:r>
          </w:p>
        </w:tc>
      </w:tr>
      <w:tr>
        <w:tc>
          <w:tcPr>
            <w:tcW w:type="dxa" w:w="2460"/>
          </w:tcPr>
          <w:p>
            <w:r/>
            <w:r>
              <w:rPr>
                <w:b w:val="0"/>
                <w:sz w:val="18"/>
              </w:rPr>
              <w:t>KR1. Fuentes integradas en PostgreSQL con carga automatizada</w:t>
            </w:r>
          </w:p>
        </w:tc>
        <w:tc>
          <w:tcPr>
            <w:tcW w:type="dxa" w:w="2460"/>
          </w:tcPr>
          <w:p>
            <w:r/>
            <w:r>
              <w:rPr>
                <w:b w:val="0"/>
                <w:sz w:val="18"/>
              </w:rPr>
              <w:t>3 de 3</w:t>
            </w:r>
          </w:p>
        </w:tc>
        <w:tc>
          <w:tcPr>
            <w:tcW w:type="dxa" w:w="2460"/>
          </w:tcPr>
          <w:p>
            <w:r/>
            <w:r>
              <w:rPr>
                <w:b w:val="0"/>
                <w:sz w:val="18"/>
              </w:rPr>
              <w:t>5-oct-2026</w:t>
            </w:r>
          </w:p>
        </w:tc>
        <w:tc>
          <w:tcPr>
            <w:tcW w:type="dxa" w:w="2460"/>
          </w:tcPr>
          <w:p>
            <w:r/>
            <w:r>
              <w:rPr>
                <w:b/>
                <w:sz w:val="18"/>
              </w:rPr>
              <w:t>Cumple.</w:t>
            </w:r>
            <w:r>
              <w:rPr>
                <w:b w:val="0"/>
                <w:sz w:val="18"/>
              </w:rPr>
              <w:t xml:space="preserve"> 3 de 3, carga con </w:t>
            </w:r>
            <w:r>
              <w:rPr>
                <w:rFonts w:ascii="Consolas" w:hAnsi="Consolas"/>
                <w:b w:val="0"/>
                <w:sz w:val="18"/>
              </w:rPr>
              <w:t>python main.py</w:t>
            </w:r>
          </w:p>
        </w:tc>
      </w:tr>
      <w:tr>
        <w:tc>
          <w:tcPr>
            <w:tcW w:type="dxa" w:w="2460"/>
          </w:tcPr>
          <w:p>
            <w:r/>
            <w:r>
              <w:rPr>
                <w:b w:val="0"/>
                <w:sz w:val="18"/>
              </w:rPr>
              <w:t>KR2. DANE válido y cruce; duplicados; campos críticos</w:t>
            </w:r>
          </w:p>
        </w:tc>
        <w:tc>
          <w:tcPr>
            <w:tcW w:type="dxa" w:w="2460"/>
          </w:tcPr>
          <w:p>
            <w:r/>
            <w:r>
              <w:rPr>
                <w:b w:val="0"/>
                <w:sz w:val="18"/>
              </w:rPr>
              <w:t>≥ 95 %; ≤ 1 %; ≥ 98 %</w:t>
            </w:r>
          </w:p>
        </w:tc>
        <w:tc>
          <w:tcPr>
            <w:tcW w:type="dxa" w:w="2460"/>
          </w:tcPr>
          <w:p>
            <w:r/>
            <w:r>
              <w:rPr>
                <w:b w:val="0"/>
                <w:sz w:val="18"/>
              </w:rPr>
              <w:t>7-oct-2026</w:t>
            </w:r>
          </w:p>
        </w:tc>
        <w:tc>
          <w:tcPr>
            <w:tcW w:type="dxa" w:w="2460"/>
          </w:tcPr>
          <w:p>
            <w:r/>
            <w:r>
              <w:rPr>
                <w:b/>
                <w:sz w:val="18"/>
              </w:rPr>
              <w:t>Cumple.</w:t>
            </w:r>
            <w:r>
              <w:rPr>
                <w:b w:val="0"/>
                <w:sz w:val="18"/>
              </w:rPr>
              <w:t xml:space="preserve"> DANE 100 %; duplicados 0 %; campos críticos 100 % (por registro, peor fuente). Los cruces tienen porcentajes sin cruce documentados (sección 3.2)</w:t>
            </w:r>
          </w:p>
        </w:tc>
      </w:tr>
      <w:tr>
        <w:tc>
          <w:tcPr>
            <w:tcW w:type="dxa" w:w="2460"/>
          </w:tcPr>
          <w:p>
            <w:r/>
            <w:r>
              <w:rPr>
                <w:b w:val="0"/>
                <w:sz w:val="18"/>
              </w:rPr>
              <w:t>KR3. Trazabilidad y reproducibilidad</w:t>
            </w:r>
          </w:p>
        </w:tc>
        <w:tc>
          <w:tcPr>
            <w:tcW w:type="dxa" w:w="2460"/>
          </w:tcPr>
          <w:p>
            <w:r/>
            <w:r>
              <w:rPr>
                <w:b w:val="0"/>
                <w:sz w:val="18"/>
              </w:rPr>
              <w:t>100 %; 0 errores sin controlar</w:t>
            </w:r>
          </w:p>
        </w:tc>
        <w:tc>
          <w:tcPr>
            <w:tcW w:type="dxa" w:w="2460"/>
          </w:tcPr>
          <w:p>
            <w:r/>
            <w:r>
              <w:rPr>
                <w:b w:val="0"/>
                <w:sz w:val="18"/>
              </w:rPr>
              <w:t>8-oct-2026</w:t>
            </w:r>
          </w:p>
        </w:tc>
        <w:tc>
          <w:tcPr>
            <w:tcW w:type="dxa" w:w="2460"/>
          </w:tcPr>
          <w:p>
            <w:r/>
            <w:r>
              <w:rPr>
                <w:b/>
                <w:sz w:val="18"/>
              </w:rPr>
              <w:t>Cumple.</w:t>
            </w:r>
            <w:r>
              <w:rPr>
                <w:b w:val="0"/>
                <w:sz w:val="18"/>
              </w:rPr>
              <w:t xml:space="preserve"> 100 % con fuente, fecha de carga, lote y regla; 0 errores; reproducibilidad 100 %</w:t>
            </w:r>
          </w:p>
        </w:tc>
      </w:tr>
      <w:tr>
        <w:tc>
          <w:tcPr>
            <w:tcW w:type="dxa" w:w="2460"/>
          </w:tcPr>
          <w:p>
            <w:r/>
            <w:r>
              <w:rPr>
                <w:b w:val="0"/>
                <w:sz w:val="18"/>
              </w:rPr>
              <w:t>KR4. Tablero con indicadores del MVP y advertencia de frescura</w:t>
            </w:r>
          </w:p>
        </w:tc>
        <w:tc>
          <w:tcPr>
            <w:tcW w:type="dxa" w:w="2460"/>
          </w:tcPr>
          <w:p>
            <w:r/>
            <w:r>
              <w:rPr>
                <w:b w:val="0"/>
                <w:sz w:val="18"/>
              </w:rPr>
              <w:t>1 tablero</w:t>
            </w:r>
          </w:p>
        </w:tc>
        <w:tc>
          <w:tcPr>
            <w:tcW w:type="dxa" w:w="2460"/>
          </w:tcPr>
          <w:p>
            <w:r/>
            <w:r>
              <w:rPr>
                <w:b w:val="0"/>
                <w:sz w:val="18"/>
              </w:rPr>
              <w:t>9-oct-2026</w:t>
            </w:r>
          </w:p>
        </w:tc>
        <w:tc>
          <w:tcPr>
            <w:tcW w:type="dxa" w:w="2460"/>
          </w:tcPr>
          <w:p>
            <w:r/>
            <w:r>
              <w:rPr>
                <w:b/>
                <w:sz w:val="18"/>
              </w:rPr>
              <w:t>Cumple en contenido.</w:t>
            </w:r>
            <w:r>
              <w:rPr>
                <w:b w:val="0"/>
                <w:sz w:val="18"/>
              </w:rPr>
              <w:t xml:space="preserve"> Tablero de 7 páginas con advertencias; archivo </w:t>
            </w:r>
            <w:r>
              <w:rPr>
                <w:rFonts w:ascii="Consolas" w:hAnsi="Consolas"/>
                <w:b w:val="0"/>
                <w:sz w:val="18"/>
              </w:rPr>
              <w:t>.pbix</w:t>
            </w:r>
            <w:r>
              <w:rPr>
                <w:b w:val="0"/>
                <w:sz w:val="18"/>
              </w:rPr>
              <w:t xml:space="preserve"> y PDF se entregan aparte (no se versionan)</w:t>
            </w:r>
          </w:p>
        </w:tc>
      </w:tr>
    </w:tbl>
    <w:p/>
    <w:p>
      <w:pPr>
        <w:pStyle w:val="Heading2"/>
      </w:pPr>
      <w:r>
        <w:rPr>
          <w:b w:val="0"/>
        </w:rPr>
        <w:t>KPI del pipeline (</w:t>
      </w:r>
      <w:r>
        <w:rPr>
          <w:rFonts w:ascii="Consolas" w:hAnsi="Consolas"/>
          <w:b w:val="0"/>
          <w:sz w:val="18"/>
        </w:rPr>
        <w:t>data/gold/kpis_pipeline.csv</w:t>
      </w:r>
      <w:r>
        <w:rPr>
          <w:b w:val="0"/>
        </w:rPr>
        <w:t>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80"/>
        <w:gridCol w:w="3280"/>
        <w:gridCol w:w="3280"/>
      </w:tblGrid>
      <w:tr>
        <w:tc>
          <w:tcPr>
            <w:tcW w:type="dxa" w:w="3280"/>
            <w:shd w:val="clear" w:color="auto" w:fill="D9E2F3"/>
          </w:tcPr>
          <w:p>
            <w:r/>
            <w:r>
              <w:rPr>
                <w:b/>
                <w:sz w:val="18"/>
              </w:rPr>
              <w:t>KPI</w:t>
            </w:r>
          </w:p>
        </w:tc>
        <w:tc>
          <w:tcPr>
            <w:tcW w:type="dxa" w:w="3280"/>
            <w:shd w:val="clear" w:color="auto" w:fill="D9E2F3"/>
          </w:tcPr>
          <w:p>
            <w:r/>
            <w:r>
              <w:rPr>
                <w:b/>
                <w:sz w:val="18"/>
              </w:rPr>
              <w:t>Meta</w:t>
            </w:r>
          </w:p>
        </w:tc>
        <w:tc>
          <w:tcPr>
            <w:tcW w:type="dxa" w:w="3280"/>
            <w:shd w:val="clear" w:color="auto" w:fill="D9E2F3"/>
          </w:tcPr>
          <w:p>
            <w:r/>
            <w:r>
              <w:rPr>
                <w:b/>
                <w:sz w:val="18"/>
              </w:rPr>
              <w:t>Valor</w:t>
            </w:r>
          </w:p>
        </w:tc>
      </w:tr>
      <w:tr>
        <w:tc>
          <w:tcPr>
            <w:tcW w:type="dxa" w:w="3280"/>
          </w:tcPr>
          <w:p>
            <w:r/>
            <w:r>
              <w:rPr>
                <w:rFonts w:ascii="Consolas" w:hAnsi="Consolas"/>
                <w:b w:val="0"/>
                <w:sz w:val="18"/>
              </w:rPr>
              <w:t>pct_fuentes_integradas</w:t>
            </w:r>
          </w:p>
        </w:tc>
        <w:tc>
          <w:tcPr>
            <w:tcW w:type="dxa" w:w="3280"/>
          </w:tcPr>
          <w:p>
            <w:r/>
            <w:r>
              <w:rPr>
                <w:b w:val="0"/>
                <w:sz w:val="18"/>
              </w:rPr>
              <w:t>≥ 100 %</w:t>
            </w:r>
          </w:p>
        </w:tc>
        <w:tc>
          <w:tcPr>
            <w:tcW w:type="dxa" w:w="3280"/>
          </w:tcPr>
          <w:p>
            <w:r/>
            <w:r>
              <w:rPr>
                <w:b w:val="0"/>
                <w:sz w:val="18"/>
              </w:rPr>
              <w:t>100 %</w:t>
            </w:r>
          </w:p>
        </w:tc>
      </w:tr>
      <w:tr>
        <w:tc>
          <w:tcPr>
            <w:tcW w:type="dxa" w:w="3280"/>
          </w:tcPr>
          <w:p>
            <w:r/>
            <w:r>
              <w:rPr>
                <w:rFonts w:ascii="Consolas" w:hAnsi="Consolas"/>
                <w:b w:val="0"/>
                <w:sz w:val="18"/>
              </w:rPr>
              <w:t>pct_variables_estandarizadas</w:t>
            </w:r>
          </w:p>
        </w:tc>
        <w:tc>
          <w:tcPr>
            <w:tcW w:type="dxa" w:w="3280"/>
          </w:tcPr>
          <w:p>
            <w:r/>
            <w:r>
              <w:rPr>
                <w:b w:val="0"/>
                <w:sz w:val="18"/>
              </w:rPr>
              <w:t>≥ 100 %</w:t>
            </w:r>
          </w:p>
        </w:tc>
        <w:tc>
          <w:tcPr>
            <w:tcW w:type="dxa" w:w="3280"/>
          </w:tcPr>
          <w:p>
            <w:r/>
            <w:r>
              <w:rPr>
                <w:b w:val="0"/>
                <w:sz w:val="18"/>
              </w:rPr>
              <w:t>100 % (30 variables)</w:t>
            </w:r>
          </w:p>
        </w:tc>
      </w:tr>
      <w:tr>
        <w:tc>
          <w:tcPr>
            <w:tcW w:type="dxa" w:w="3280"/>
          </w:tcPr>
          <w:p>
            <w:r/>
            <w:r>
              <w:rPr>
                <w:rFonts w:ascii="Consolas" w:hAnsi="Consolas"/>
                <w:b w:val="0"/>
                <w:sz w:val="18"/>
              </w:rPr>
              <w:t>pct_registros_duplicados</w:t>
            </w:r>
          </w:p>
        </w:tc>
        <w:tc>
          <w:tcPr>
            <w:tcW w:type="dxa" w:w="3280"/>
          </w:tcPr>
          <w:p>
            <w:r/>
            <w:r>
              <w:rPr>
                <w:b w:val="0"/>
                <w:sz w:val="18"/>
              </w:rPr>
              <w:t>≤ 1 %</w:t>
            </w:r>
          </w:p>
        </w:tc>
        <w:tc>
          <w:tcPr>
            <w:tcW w:type="dxa" w:w="3280"/>
          </w:tcPr>
          <w:p>
            <w:r/>
            <w:r>
              <w:rPr>
                <w:b w:val="0"/>
                <w:sz w:val="18"/>
              </w:rPr>
              <w:t>0 %</w:t>
            </w:r>
          </w:p>
        </w:tc>
      </w:tr>
      <w:tr>
        <w:tc>
          <w:tcPr>
            <w:tcW w:type="dxa" w:w="3280"/>
          </w:tcPr>
          <w:p>
            <w:r/>
            <w:r>
              <w:rPr>
                <w:rFonts w:ascii="Consolas" w:hAnsi="Consolas"/>
                <w:b w:val="0"/>
                <w:sz w:val="18"/>
              </w:rPr>
              <w:t>pct_registros_con_trazabilidad</w:t>
            </w:r>
          </w:p>
        </w:tc>
        <w:tc>
          <w:tcPr>
            <w:tcW w:type="dxa" w:w="3280"/>
          </w:tcPr>
          <w:p>
            <w:r/>
            <w:r>
              <w:rPr>
                <w:b w:val="0"/>
                <w:sz w:val="18"/>
              </w:rPr>
              <w:t>≥ 100 %</w:t>
            </w:r>
          </w:p>
        </w:tc>
        <w:tc>
          <w:tcPr>
            <w:tcW w:type="dxa" w:w="3280"/>
          </w:tcPr>
          <w:p>
            <w:r/>
            <w:r>
              <w:rPr>
                <w:b w:val="0"/>
                <w:sz w:val="18"/>
              </w:rPr>
              <w:t>100 %</w:t>
            </w:r>
          </w:p>
        </w:tc>
      </w:tr>
      <w:tr>
        <w:tc>
          <w:tcPr>
            <w:tcW w:type="dxa" w:w="3280"/>
          </w:tcPr>
          <w:p>
            <w:r/>
            <w:r>
              <w:rPr>
                <w:rFonts w:ascii="Consolas" w:hAnsi="Consolas"/>
                <w:b w:val="0"/>
                <w:sz w:val="18"/>
              </w:rPr>
              <w:t>pct_campos_criticos_completos</w:t>
            </w:r>
          </w:p>
        </w:tc>
        <w:tc>
          <w:tcPr>
            <w:tcW w:type="dxa" w:w="3280"/>
          </w:tcPr>
          <w:p>
            <w:r/>
            <w:r>
              <w:rPr>
                <w:b w:val="0"/>
                <w:sz w:val="18"/>
              </w:rPr>
              <w:t>≥ 98 %</w:t>
            </w:r>
          </w:p>
        </w:tc>
        <w:tc>
          <w:tcPr>
            <w:tcW w:type="dxa" w:w="3280"/>
          </w:tcPr>
          <w:p>
            <w:r/>
            <w:r>
              <w:rPr>
                <w:b w:val="0"/>
                <w:sz w:val="18"/>
              </w:rPr>
              <w:t>100 %</w:t>
            </w:r>
          </w:p>
        </w:tc>
      </w:tr>
      <w:tr>
        <w:tc>
          <w:tcPr>
            <w:tcW w:type="dxa" w:w="3280"/>
          </w:tcPr>
          <w:p>
            <w:r/>
            <w:r>
              <w:rPr>
                <w:rFonts w:ascii="Consolas" w:hAnsi="Consolas"/>
                <w:b w:val="0"/>
                <w:sz w:val="18"/>
              </w:rPr>
              <w:t>numero_errores_transformacion</w:t>
            </w:r>
          </w:p>
        </w:tc>
        <w:tc>
          <w:tcPr>
            <w:tcW w:type="dxa" w:w="3280"/>
          </w:tcPr>
          <w:p>
            <w:r/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3280"/>
          </w:tcPr>
          <w:p>
            <w:r/>
            <w:r>
              <w:rPr>
                <w:b w:val="0"/>
                <w:sz w:val="18"/>
              </w:rPr>
              <w:t>0</w:t>
            </w:r>
          </w:p>
        </w:tc>
      </w:tr>
      <w:tr>
        <w:tc>
          <w:tcPr>
            <w:tcW w:type="dxa" w:w="3280"/>
          </w:tcPr>
          <w:p>
            <w:r/>
            <w:r>
              <w:rPr>
                <w:rFonts w:ascii="Consolas" w:hAnsi="Consolas"/>
                <w:b w:val="0"/>
                <w:sz w:val="18"/>
              </w:rPr>
              <w:t>pct_reglas_negocio_documentadas</w:t>
            </w:r>
          </w:p>
        </w:tc>
        <w:tc>
          <w:tcPr>
            <w:tcW w:type="dxa" w:w="3280"/>
          </w:tcPr>
          <w:p>
            <w:r/>
            <w:r>
              <w:rPr>
                <w:b w:val="0"/>
                <w:sz w:val="18"/>
              </w:rPr>
              <w:t>≥ 100 %</w:t>
            </w:r>
          </w:p>
        </w:tc>
        <w:tc>
          <w:tcPr>
            <w:tcW w:type="dxa" w:w="3280"/>
          </w:tcPr>
          <w:p>
            <w:r/>
            <w:r>
              <w:rPr>
                <w:b w:val="0"/>
                <w:sz w:val="18"/>
              </w:rPr>
              <w:t>100 %</w:t>
            </w:r>
          </w:p>
        </w:tc>
      </w:tr>
      <w:tr>
        <w:tc>
          <w:tcPr>
            <w:tcW w:type="dxa" w:w="3280"/>
          </w:tcPr>
          <w:p>
            <w:r/>
            <w:r>
              <w:rPr>
                <w:rFonts w:ascii="Consolas" w:hAnsi="Consolas"/>
                <w:b w:val="0"/>
                <w:sz w:val="18"/>
              </w:rPr>
              <w:t>pct_informacion_reproducible</w:t>
            </w:r>
          </w:p>
        </w:tc>
        <w:tc>
          <w:tcPr>
            <w:tcW w:type="dxa" w:w="3280"/>
          </w:tcPr>
          <w:p>
            <w:r/>
            <w:r>
              <w:rPr>
                <w:b w:val="0"/>
                <w:sz w:val="18"/>
              </w:rPr>
              <w:t>≥ 100 %</w:t>
            </w:r>
          </w:p>
        </w:tc>
        <w:tc>
          <w:tcPr>
            <w:tcW w:type="dxa" w:w="3280"/>
          </w:tcPr>
          <w:p>
            <w:r/>
            <w:r>
              <w:rPr>
                <w:b w:val="0"/>
                <w:sz w:val="18"/>
              </w:rPr>
              <w:t>100 %</w:t>
            </w:r>
          </w:p>
        </w:tc>
      </w:tr>
    </w:tbl>
    <w:p/>
    <w:p>
      <w:r>
        <w:rPr>
          <w:b/>
        </w:rPr>
        <w:t>KPI del diseño que no figuran en `kpis_pipeline`:</w:t>
      </w:r>
    </w:p>
    <w:p>
      <w:pPr>
        <w:pStyle w:val="ListBullet"/>
      </w:pPr>
      <w:r>
        <w:rPr>
          <w:b w:val="0"/>
          <w:i/>
        </w:rPr>
        <w:t>% de indicadores con fuente identificada:</w:t>
      </w:r>
      <w:r>
        <w:rPr>
          <w:b w:val="0"/>
        </w:rPr>
        <w:t xml:space="preserve"> se cumple, pues las 11 tablas </w:t>
      </w:r>
      <w:r>
        <w:rPr>
          <w:rFonts w:ascii="Consolas" w:hAnsi="Consolas"/>
          <w:b w:val="0"/>
          <w:sz w:val="18"/>
        </w:rPr>
        <w:t>ind_*</w:t>
      </w:r>
      <w:r>
        <w:rPr>
          <w:b w:val="0"/>
        </w:rPr>
        <w:t xml:space="preserve"> llevan </w:t>
      </w:r>
      <w:r>
        <w:rPr>
          <w:rFonts w:ascii="Consolas" w:hAnsi="Consolas"/>
          <w:b w:val="0"/>
          <w:sz w:val="18"/>
        </w:rPr>
        <w:t>fuentes_origen</w:t>
      </w:r>
      <w:r>
        <w:rPr>
          <w:b w:val="0"/>
        </w:rPr>
        <w:t xml:space="preserve"> sin nulos, pero no se publica como KPI.</w:t>
      </w:r>
    </w:p>
    <w:p>
      <w:pPr>
        <w:pStyle w:val="ListBullet"/>
      </w:pPr>
      <w:r>
        <w:rPr>
          <w:b w:val="0"/>
          <w:i/>
        </w:rPr>
        <w:t>% de localidades con servicio:</w:t>
      </w:r>
      <w:r>
        <w:rPr>
          <w:b w:val="0"/>
        </w:rPr>
        <w:t xml:space="preserve"> está en el tablero (97,1 % en 2026-01: 34 de 35 localidades reportadas).</w:t>
      </w:r>
    </w:p>
    <w:p>
      <w:pPr>
        <w:pStyle w:val="ListBullet"/>
      </w:pPr>
      <w:r>
        <w:rPr>
          <w:b w:val="0"/>
          <w:i/>
        </w:rPr>
        <w:t>% de disponibilidad del pipeline:</w:t>
      </w:r>
      <w:r>
        <w:rPr>
          <w:b w:val="0"/>
        </w:rPr>
        <w:t xml:space="preserve"> </w:t>
      </w:r>
      <w:r>
        <w:rPr>
          <w:b/>
        </w:rPr>
        <w:t>no se mide</w:t>
      </w:r>
      <w:r>
        <w:rPr>
          <w:b w:val="0"/>
        </w:rPr>
        <w:t>; exige operar el pipeline durante un periodo y no hay ejecuciones programadas.</w:t>
      </w:r>
    </w:p>
    <w:p>
      <w:pPr>
        <w:pStyle w:val="Heading1"/>
      </w:pPr>
      <w:r>
        <w:rPr>
          <w:b w:val="0"/>
        </w:rPr>
        <w:t>7. Respuestas a las preguntas del MVP</w:t>
      </w:r>
    </w:p>
    <w:p>
      <w:r>
        <w:rPr>
          <w:b w:val="0"/>
        </w:rPr>
        <w:t xml:space="preserve">Cifras de </w:t>
      </w:r>
      <w:r>
        <w:rPr>
          <w:rFonts w:ascii="Consolas" w:hAnsi="Consolas"/>
          <w:b w:val="0"/>
          <w:sz w:val="18"/>
        </w:rPr>
        <w:t>docs/eda/hallazgos.json</w:t>
      </w:r>
      <w:r>
        <w:rPr>
          <w:b w:val="0"/>
        </w:rPr>
        <w:t xml:space="preserve"> y del tablero. Detalle y salvedades en el cuaderno </w:t>
      </w:r>
      <w:r>
        <w:rPr>
          <w:rFonts w:ascii="Consolas" w:hAnsi="Consolas"/>
          <w:b w:val="0"/>
          <w:sz w:val="18"/>
        </w:rPr>
        <w:t>notebooks/01_eda_zni.ipynb</w:t>
      </w:r>
      <w:r>
        <w:rPr>
          <w:b w:val="0"/>
        </w:rPr>
        <w:t>.</w:t>
      </w:r>
    </w:p>
    <w:p>
      <w:pPr>
        <w:pStyle w:val="ListNumber"/>
      </w:pPr>
      <w:r>
        <w:rPr>
          <w:b/>
        </w:rPr>
        <w:t>Estado actual.</w:t>
      </w:r>
      <w:r>
        <w:rPr>
          <w:b w:val="0"/>
        </w:rPr>
        <w:t xml:space="preserve"> En 2026-01 reportaron 35 localidades y 34 tenían servicio. En los últimos doce meses con datos el promedio es de 7,8 h/día: Cauca 6,3; Nariño 6,6; Valle del Cauca 8,9; Putumayo 14,8 (solo dos localidades).</w:t>
      </w:r>
    </w:p>
    <w:p>
      <w:pPr>
        <w:pStyle w:val="ListNumber"/>
      </w:pPr>
      <w:r>
        <w:rPr>
          <w:b/>
        </w:rPr>
        <w:t>Brechas.</w:t>
      </w:r>
      <w:r>
        <w:rPr>
          <w:b w:val="0"/>
        </w:rPr>
        <w:t xml:space="preserve"> La mayor está en la costa pacífica de Nariño y Cauca. Magüí recibe 1,9 h; le siguen López de Micay (5,8 h) y El Charco. Cinco de las ocho localidades con menos horas son de Magüí.</w:t>
      </w:r>
    </w:p>
    <w:p>
      <w:pPr>
        <w:pStyle w:val="ListNumber"/>
      </w:pPr>
      <w:r>
        <w:rPr>
          <w:b/>
        </w:rPr>
        <w:t>Evolución.</w:t>
      </w:r>
      <w:r>
        <w:rPr>
          <w:b w:val="0"/>
        </w:rPr>
        <w:t xml:space="preserve"> No hay mejora generalizada. De 26 localidades comparables, 11 mejoran, 10 empeoran y 5 se mantienen; el cambio mediano es de +0,3 h y su intervalo de confianza del 95 % (−0,6 a +1,0) incluye el cero. Solo Puerto Merizalde (de 7 a 22 h) y Pital de la Costa mejoraron mucho. Diciembre es el mejor mes (+0,6 h) y enero el peor (−0,5 h).</w:t>
      </w:r>
    </w:p>
    <w:p>
      <w:pPr>
        <w:pStyle w:val="ListNumber"/>
      </w:pPr>
      <w:r>
        <w:rPr>
          <w:b/>
        </w:rPr>
        <w:t>Operadores.</w:t>
      </w:r>
      <w:r>
        <w:rPr>
          <w:b w:val="0"/>
        </w:rPr>
        <w:t xml:space="preserve"> Hay 14 operadores y el operador solo se puede asignar al 52 % de las localidades, entre 2021-07 y 2022-03. El promedio ponderado es de 6,9 h. Los dos extremos (13,5 h y 3,1 h) se miden con una sola localidad cada uno, por lo que no son comparables.</w:t>
      </w:r>
    </w:p>
    <w:p>
      <w:pPr>
        <w:pStyle w:val="ListNumber"/>
      </w:pPr>
      <w:r>
        <w:rPr>
          <w:b/>
        </w:rPr>
        <w:t>PQR.</w:t>
      </w:r>
      <w:r>
        <w:rPr>
          <w:b w:val="0"/>
        </w:rPr>
        <w:t xml:space="preserve"> Son 9.282 casos, 89,5 % con respuesta; Pasto, Ipiales y Tumaco reúnen el 71 %. Son casos de </w:t>
      </w:r>
      <w:r>
        <w:rPr>
          <w:b/>
        </w:rPr>
        <w:t>distribuidoras de gas</w:t>
      </w:r>
      <w:r>
        <w:rPr>
          <w:b w:val="0"/>
        </w:rPr>
        <w:t>, no de energía eléctrica. La relación con las horas de servicio es débil (ρ de Spearman 0,11 con 36 pares municipio-semestre) y descriptiva, no causal.</w:t>
      </w:r>
    </w:p>
    <w:p>
      <w:pPr>
        <w:pStyle w:val="ListNumber"/>
      </w:pPr>
      <w:r>
        <w:rPr>
          <w:b/>
        </w:rPr>
        <w:t>Peor desempeño combinado.</w:t>
      </w:r>
      <w:r>
        <w:rPr>
          <w:b w:val="0"/>
        </w:rPr>
        <w:t xml:space="preserve"> Tumaco encabeza (767 PQR, 17,1 h de brecha), seguido de Olaya Herrera y Francisco Pizarro. Las localidades con menos horas son El Rosario (0,4 h), La Isla (1,2 h) y Alto Estero (1,7 h), las tres de Magüí.</w:t>
      </w:r>
    </w:p>
    <w:p>
      <w:pPr>
        <w:pStyle w:val="Heading1"/>
      </w:pPr>
      <w:r>
        <w:rPr>
          <w:b w:val="0"/>
        </w:rPr>
        <w:t>8. Desviaciones respecto al diseño</w:t>
      </w:r>
    </w:p>
    <w:p>
      <w:r>
        <w:rPr>
          <w:b w:val="0"/>
        </w:rPr>
        <w:t xml:space="preserve">Cada una nació de un hallazgo al perfilar las fuentes; la evidencia está en </w:t>
      </w:r>
      <w:r>
        <w:rPr>
          <w:rFonts w:ascii="Consolas" w:hAnsi="Consolas"/>
          <w:b w:val="0"/>
          <w:sz w:val="18"/>
        </w:rPr>
        <w:t>config/config.yaml</w:t>
      </w:r>
      <w:r>
        <w:rPr>
          <w:b w:val="0"/>
        </w:rPr>
        <w:t xml:space="preserve"> (</w:t>
      </w:r>
      <w:r>
        <w:rPr>
          <w:rFonts w:ascii="Consolas" w:hAnsi="Consolas"/>
          <w:b w:val="0"/>
          <w:sz w:val="18"/>
        </w:rPr>
        <w:t>notas</w:t>
      </w:r>
      <w:r>
        <w:rPr>
          <w:b w:val="0"/>
        </w:rPr>
        <w:t xml:space="preserve"> y </w:t>
      </w:r>
      <w:r>
        <w:rPr>
          <w:rFonts w:ascii="Consolas" w:hAnsi="Consolas"/>
          <w:b w:val="0"/>
          <w:sz w:val="18"/>
        </w:rPr>
        <w:t>decisiones_de_diseno</w:t>
      </w:r>
      <w:r>
        <w:rPr>
          <w:b w:val="0"/>
        </w:rPr>
        <w:t>).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60"/>
        <w:gridCol w:w="2460"/>
        <w:gridCol w:w="2460"/>
        <w:gridCol w:w="2460"/>
      </w:tblGrid>
      <w:tr>
        <w:tc>
          <w:tcPr>
            <w:tcW w:type="dxa" w:w="2460"/>
            <w:shd w:val="clear" w:color="auto" w:fill="D9E2F3"/>
          </w:tcPr>
          <w:p>
            <w:r/>
            <w:r>
              <w:rPr>
                <w:b/>
                <w:sz w:val="18"/>
              </w:rPr>
              <w:t>#</w:t>
            </w:r>
          </w:p>
        </w:tc>
        <w:tc>
          <w:tcPr>
            <w:tcW w:type="dxa" w:w="2460"/>
            <w:shd w:val="clear" w:color="auto" w:fill="D9E2F3"/>
          </w:tcPr>
          <w:p>
            <w:r/>
            <w:r>
              <w:rPr>
                <w:b/>
                <w:sz w:val="18"/>
              </w:rPr>
              <w:t>El diseño suponía</w:t>
            </w:r>
          </w:p>
        </w:tc>
        <w:tc>
          <w:tcPr>
            <w:tcW w:type="dxa" w:w="2460"/>
            <w:shd w:val="clear" w:color="auto" w:fill="D9E2F3"/>
          </w:tcPr>
          <w:p>
            <w:r/>
            <w:r>
              <w:rPr>
                <w:b/>
                <w:sz w:val="18"/>
              </w:rPr>
              <w:t>Lo encontrado</w:t>
            </w:r>
          </w:p>
        </w:tc>
        <w:tc>
          <w:tcPr>
            <w:tcW w:type="dxa" w:w="2460"/>
            <w:shd w:val="clear" w:color="auto" w:fill="D9E2F3"/>
          </w:tcPr>
          <w:p>
            <w:r/>
            <w:r>
              <w:rPr>
                <w:b/>
                <w:sz w:val="18"/>
              </w:rPr>
              <w:t>Decisión</w:t>
            </w:r>
          </w:p>
        </w:tc>
      </w:tr>
      <w:tr>
        <w:tc>
          <w:tcPr>
            <w:tcW w:type="dxa" w:w="2460"/>
          </w:tcPr>
          <w:p>
            <w:r/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2460"/>
          </w:tcPr>
          <w:p>
            <w:r/>
            <w:r>
              <w:rPr>
                <w:rFonts w:ascii="Consolas" w:hAnsi="Consolas"/>
                <w:b w:val="0"/>
                <w:sz w:val="18"/>
              </w:rPr>
              <w:t>pqr</w:t>
            </w:r>
            <w:r>
              <w:rPr>
                <w:b w:val="0"/>
                <w:sz w:val="18"/>
              </w:rPr>
              <w:t xml:space="preserve"> mide quejas del servicio de energía</w:t>
            </w:r>
          </w:p>
        </w:tc>
        <w:tc>
          <w:tcPr>
            <w:tcW w:type="dxa" w:w="2460"/>
          </w:tcPr>
          <w:p>
            <w:r/>
            <w:r>
              <w:rPr>
                <w:b w:val="0"/>
                <w:sz w:val="18"/>
              </w:rPr>
              <w:t xml:space="preserve">Todas las empresas son distribuidoras de gas; el identificador de empresa coincide 0 % con </w:t>
            </w:r>
            <w:r>
              <w:rPr>
                <w:rFonts w:ascii="Consolas" w:hAnsi="Consolas"/>
                <w:b w:val="0"/>
                <w:sz w:val="18"/>
              </w:rPr>
              <w:t>operacion_diaria</w:t>
            </w:r>
          </w:p>
        </w:tc>
        <w:tc>
          <w:tcPr>
            <w:tcW w:type="dxa" w:w="2460"/>
          </w:tcPr>
          <w:p>
            <w:r/>
            <w:r>
              <w:rPr>
                <w:b w:val="0"/>
                <w:sz w:val="18"/>
              </w:rPr>
              <w:t>Se mantiene como contexto municipal; la unión se limita a municipio</w:t>
            </w:r>
          </w:p>
        </w:tc>
      </w:tr>
      <w:tr>
        <w:tc>
          <w:tcPr>
            <w:tcW w:type="dxa" w:w="2460"/>
          </w:tcPr>
          <w:p>
            <w:r/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2460"/>
          </w:tcPr>
          <w:p>
            <w:r/>
            <w:r>
              <w:rPr>
                <w:rFonts w:ascii="Consolas" w:hAnsi="Consolas"/>
                <w:b w:val="0"/>
                <w:sz w:val="18"/>
              </w:rPr>
              <w:t>prestacion</w:t>
            </w:r>
            <w:r>
              <w:rPr>
                <w:b w:val="0"/>
                <w:sz w:val="18"/>
              </w:rPr>
              <w:t xml:space="preserve"> ↔ </w:t>
            </w:r>
            <w:r>
              <w:rPr>
                <w:rFonts w:ascii="Consolas" w:hAnsi="Consolas"/>
                <w:b w:val="0"/>
                <w:sz w:val="18"/>
              </w:rPr>
              <w:t>operacion_diaria</w:t>
            </w:r>
            <w:r>
              <w:rPr>
                <w:b w:val="0"/>
                <w:sz w:val="18"/>
              </w:rPr>
              <w:t xml:space="preserve"> por código de localidad</w:t>
            </w:r>
          </w:p>
        </w:tc>
        <w:tc>
          <w:tcPr>
            <w:tcW w:type="dxa" w:w="2460"/>
          </w:tcPr>
          <w:p>
            <w:r/>
            <w:r>
              <w:rPr>
                <w:b w:val="0"/>
                <w:sz w:val="18"/>
              </w:rPr>
              <w:t>El código de operación diaria tiene 13 dígitos (municipio 5 + centro poblado 3 + consecutivo 5)</w:t>
            </w:r>
          </w:p>
        </w:tc>
        <w:tc>
          <w:tcPr>
            <w:tcW w:type="dxa" w:w="2460"/>
          </w:tcPr>
          <w:p>
            <w:r/>
            <w:r>
              <w:rPr>
                <w:b w:val="0"/>
                <w:sz w:val="18"/>
              </w:rPr>
              <w:t xml:space="preserve">Se une por los primeros 8 dígitos si el centro poblado no es </w:t>
            </w:r>
            <w:r>
              <w:rPr>
                <w:rFonts w:ascii="Consolas" w:hAnsi="Consolas"/>
                <w:b w:val="0"/>
                <w:sz w:val="18"/>
              </w:rPr>
              <w:t>000</w:t>
            </w:r>
            <w:r>
              <w:rPr>
                <w:b w:val="0"/>
                <w:sz w:val="18"/>
              </w:rPr>
              <w:t>: 38 de 73 localidades</w:t>
            </w:r>
          </w:p>
        </w:tc>
      </w:tr>
      <w:tr>
        <w:tc>
          <w:tcPr>
            <w:tcW w:type="dxa" w:w="2460"/>
          </w:tcPr>
          <w:p>
            <w:r/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2460"/>
          </w:tcPr>
          <w:p>
            <w:r/>
            <w:r>
              <w:rPr>
                <w:b w:val="0"/>
                <w:sz w:val="18"/>
              </w:rPr>
              <w:t>Una llave de localidad por código DANE</w:t>
            </w:r>
          </w:p>
        </w:tc>
        <w:tc>
          <w:tcPr>
            <w:tcW w:type="dxa" w:w="2460"/>
          </w:tcPr>
          <w:p>
            <w:r/>
            <w:r>
              <w:rPr>
                <w:b w:val="0"/>
                <w:sz w:val="18"/>
              </w:rPr>
              <w:t>15 de 73 códigos agrupan localidades con nombres distintos</w:t>
            </w:r>
          </w:p>
        </w:tc>
        <w:tc>
          <w:tcPr>
            <w:tcW w:type="dxa" w:w="2460"/>
          </w:tcPr>
          <w:p>
            <w:r/>
            <w:r>
              <w:rPr>
                <w:b w:val="0"/>
                <w:sz w:val="18"/>
              </w:rPr>
              <w:t>La entidad es (código, nombre normalizado); con esa llave no hay duplicados</w:t>
            </w:r>
          </w:p>
        </w:tc>
      </w:tr>
      <w:tr>
        <w:tc>
          <w:tcPr>
            <w:tcW w:type="dxa" w:w="2460"/>
          </w:tcPr>
          <w:p>
            <w:r/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2460"/>
          </w:tcPr>
          <w:p>
            <w:r/>
            <w:r>
              <w:rPr>
                <w:b w:val="0"/>
                <w:sz w:val="18"/>
              </w:rPr>
              <w:t xml:space="preserve">Cortes del portal: </w:t>
            </w:r>
            <w:r>
              <w:rPr>
                <w:rFonts w:ascii="Consolas" w:hAnsi="Consolas"/>
                <w:b w:val="0"/>
                <w:sz w:val="18"/>
              </w:rPr>
              <w:t>qwe5-ycap</w:t>
            </w:r>
            <w:r>
              <w:rPr>
                <w:b w:val="0"/>
                <w:sz w:val="18"/>
              </w:rPr>
              <w:t xml:space="preserve"> jun-2023 y </w:t>
            </w:r>
            <w:r>
              <w:rPr>
                <w:rFonts w:ascii="Consolas" w:hAnsi="Consolas"/>
                <w:b w:val="0"/>
                <w:sz w:val="18"/>
              </w:rPr>
              <w:t>5wua-nr2d</w:t>
            </w:r>
            <w:r>
              <w:rPr>
                <w:b w:val="0"/>
                <w:sz w:val="18"/>
              </w:rPr>
              <w:t xml:space="preserve"> mar-2024</w:t>
            </w:r>
          </w:p>
        </w:tc>
        <w:tc>
          <w:tcPr>
            <w:tcW w:type="dxa" w:w="2460"/>
          </w:tcPr>
          <w:p>
            <w:r/>
            <w:r>
              <w:rPr>
                <w:b w:val="0"/>
                <w:sz w:val="18"/>
              </w:rPr>
              <w:t xml:space="preserve">Los datos terminan en 2022-03 y 2023-06; </w:t>
            </w:r>
            <w:r>
              <w:rPr>
                <w:rFonts w:ascii="Consolas" w:hAnsi="Consolas"/>
                <w:b w:val="0"/>
                <w:sz w:val="18"/>
              </w:rPr>
              <w:t>pqr</w:t>
            </w:r>
            <w:r>
              <w:rPr>
                <w:b w:val="0"/>
                <w:sz w:val="18"/>
              </w:rPr>
              <w:t xml:space="preserve"> no tiene el semestre 2022-2</w:t>
            </w:r>
          </w:p>
        </w:tc>
        <w:tc>
          <w:tcPr>
            <w:tcW w:type="dxa" w:w="2460"/>
          </w:tcPr>
          <w:p>
            <w:r/>
            <w:r>
              <w:rPr>
                <w:b w:val="0"/>
                <w:sz w:val="18"/>
              </w:rPr>
              <w:t>La comparabilidad usa la cobertura observada</w:t>
            </w:r>
          </w:p>
        </w:tc>
      </w:tr>
      <w:tr>
        <w:tc>
          <w:tcPr>
            <w:tcW w:type="dxa" w:w="2460"/>
          </w:tcPr>
          <w:p>
            <w:r/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2460"/>
          </w:tcPr>
          <w:p>
            <w:r/>
            <w:r>
              <w:rPr>
                <w:rFonts w:ascii="Consolas" w:hAnsi="Consolas"/>
                <w:b w:val="0"/>
                <w:sz w:val="18"/>
              </w:rPr>
              <w:t>3ebi-d83g</w:t>
            </w:r>
            <w:r>
              <w:rPr>
                <w:b w:val="0"/>
                <w:sz w:val="18"/>
              </w:rPr>
              <w:t xml:space="preserve"> con corte único ene-2026</w:t>
            </w:r>
          </w:p>
        </w:tc>
        <w:tc>
          <w:tcPr>
            <w:tcW w:type="dxa" w:w="2460"/>
          </w:tcPr>
          <w:p>
            <w:r/>
            <w:r>
              <w:rPr>
                <w:b w:val="0"/>
                <w:sz w:val="18"/>
              </w:rPr>
              <w:t>Hay dos fechas: último periodo con datos (ene-2026) y actualización del portal (2026-03-13)</w:t>
            </w:r>
          </w:p>
        </w:tc>
        <w:tc>
          <w:tcPr>
            <w:tcW w:type="dxa" w:w="2460"/>
          </w:tcPr>
          <w:p>
            <w:r/>
            <w:r>
              <w:rPr>
                <w:b w:val="0"/>
                <w:sz w:val="18"/>
              </w:rPr>
              <w:t>Se usa el último periodo con datos</w:t>
            </w:r>
          </w:p>
        </w:tc>
      </w:tr>
      <w:tr>
        <w:tc>
          <w:tcPr>
            <w:tcW w:type="dxa" w:w="2460"/>
          </w:tcPr>
          <w:p>
            <w:r/>
            <w:r>
              <w:rPr>
                <w:b w:val="0"/>
                <w:sz w:val="18"/>
              </w:rPr>
              <w:t>6</w:t>
            </w:r>
          </w:p>
        </w:tc>
        <w:tc>
          <w:tcPr>
            <w:tcW w:type="dxa" w:w="2460"/>
          </w:tcPr>
          <w:p>
            <w:r/>
            <w:r>
              <w:rPr>
                <w:b w:val="0"/>
                <w:sz w:val="18"/>
              </w:rPr>
              <w:t xml:space="preserve">Formato estable de </w:t>
            </w:r>
            <w:r>
              <w:rPr>
                <w:rFonts w:ascii="Consolas" w:hAnsi="Consolas"/>
                <w:b w:val="0"/>
                <w:sz w:val="18"/>
              </w:rPr>
              <w:t>prestacion</w:t>
            </w:r>
          </w:p>
        </w:tc>
        <w:tc>
          <w:tcPr>
            <w:tcW w:type="dxa" w:w="2460"/>
          </w:tcPr>
          <w:p>
            <w:r/>
            <w:r>
              <w:rPr>
                <w:b w:val="0"/>
                <w:sz w:val="18"/>
              </w:rPr>
              <w:t>En 2025-12 y 2026-01 las horas vienen ×100 y la potencia en escala inconsistente</w:t>
            </w:r>
          </w:p>
        </w:tc>
        <w:tc>
          <w:tcPr>
            <w:tcW w:type="dxa" w:w="2460"/>
          </w:tcPr>
          <w:p>
            <w:r/>
            <w:r>
              <w:rPr>
                <w:b w:val="0"/>
                <w:sz w:val="18"/>
              </w:rPr>
              <w:t>Las horas se reescalan y se marcan (validado con la energía); la potencia de esas filas se excluye</w:t>
            </w:r>
          </w:p>
        </w:tc>
      </w:tr>
      <w:tr>
        <w:tc>
          <w:tcPr>
            <w:tcW w:type="dxa" w:w="2460"/>
          </w:tcPr>
          <w:p>
            <w:r/>
            <w:r>
              <w:rPr>
                <w:b w:val="0"/>
                <w:sz w:val="18"/>
              </w:rPr>
              <w:t>7</w:t>
            </w:r>
          </w:p>
        </w:tc>
        <w:tc>
          <w:tcPr>
            <w:tcW w:type="dxa" w:w="2460"/>
          </w:tcPr>
          <w:p>
            <w:r/>
            <w:r>
              <w:rPr>
                <w:b w:val="0"/>
                <w:sz w:val="18"/>
              </w:rPr>
              <w:t>Validez DANE frente al catálogo DIVIPOLA</w:t>
            </w:r>
          </w:p>
        </w:tc>
        <w:tc>
          <w:tcPr>
            <w:tcW w:type="dxa" w:w="2460"/>
          </w:tcPr>
          <w:p>
            <w:r/>
            <w:r>
              <w:rPr>
                <w:b w:val="0"/>
                <w:sz w:val="18"/>
              </w:rPr>
              <w:t>No se incorporó el catálogo</w:t>
            </w:r>
          </w:p>
        </w:tc>
        <w:tc>
          <w:tcPr>
            <w:tcW w:type="dxa" w:w="2460"/>
          </w:tcPr>
          <w:p>
            <w:r/>
            <w:r>
              <w:rPr>
                <w:b w:val="0"/>
                <w:sz w:val="18"/>
              </w:rPr>
              <w:t>Se valida formato y jerarquía; la pertenencia a un catálogo oficial queda pendiente</w:t>
            </w:r>
          </w:p>
        </w:tc>
      </w:tr>
      <w:tr>
        <w:tc>
          <w:tcPr>
            <w:tcW w:type="dxa" w:w="2460"/>
          </w:tcPr>
          <w:p>
            <w:r/>
            <w:r>
              <w:rPr>
                <w:b w:val="0"/>
                <w:sz w:val="18"/>
              </w:rPr>
              <w:t>8</w:t>
            </w:r>
          </w:p>
        </w:tc>
        <w:tc>
          <w:tcPr>
            <w:tcW w:type="dxa" w:w="2460"/>
          </w:tcPr>
          <w:p>
            <w:r/>
            <w:r>
              <w:rPr>
                <w:b w:val="0"/>
                <w:sz w:val="18"/>
              </w:rPr>
              <w:t xml:space="preserve">Llave de </w:t>
            </w:r>
            <w:r>
              <w:rPr>
                <w:rFonts w:ascii="Consolas" w:hAnsi="Consolas"/>
                <w:b w:val="0"/>
                <w:sz w:val="18"/>
              </w:rPr>
              <w:t>qwe5-ycap</w:t>
            </w:r>
            <w:r>
              <w:rPr>
                <w:b w:val="0"/>
                <w:sz w:val="18"/>
              </w:rPr>
              <w:t xml:space="preserve"> con operador</w:t>
            </w:r>
          </w:p>
        </w:tc>
        <w:tc>
          <w:tcPr>
            <w:tcW w:type="dxa" w:w="2460"/>
          </w:tcPr>
          <w:p>
            <w:r/>
            <w:r>
              <w:rPr>
                <w:b w:val="0"/>
                <w:sz w:val="18"/>
              </w:rPr>
              <w:t>La llave única es localidad + fecha + serie del generador</w:t>
            </w:r>
          </w:p>
        </w:tc>
        <w:tc>
          <w:tcPr>
            <w:tcW w:type="dxa" w:w="2460"/>
          </w:tcPr>
          <w:p>
            <w:r/>
            <w:r>
              <w:rPr>
                <w:b w:val="0"/>
                <w:sz w:val="18"/>
              </w:rPr>
              <w:t>El operador se obtiene por agregación localidad-mes</w:t>
            </w:r>
          </w:p>
        </w:tc>
      </w:tr>
      <w:tr>
        <w:tc>
          <w:tcPr>
            <w:tcW w:type="dxa" w:w="2460"/>
          </w:tcPr>
          <w:p>
            <w:r/>
            <w:r>
              <w:rPr>
                <w:b w:val="0"/>
                <w:sz w:val="18"/>
              </w:rPr>
              <w:t>9</w:t>
            </w:r>
          </w:p>
        </w:tc>
        <w:tc>
          <w:tcPr>
            <w:tcW w:type="dxa" w:w="2460"/>
          </w:tcPr>
          <w:p>
            <w:r/>
            <w:r>
              <w:rPr>
                <w:b w:val="0"/>
                <w:sz w:val="18"/>
              </w:rPr>
              <w:t xml:space="preserve">Horas de </w:t>
            </w:r>
            <w:r>
              <w:rPr>
                <w:rFonts w:ascii="Consolas" w:hAnsi="Consolas"/>
                <w:b w:val="0"/>
                <w:sz w:val="18"/>
              </w:rPr>
              <w:t>qwe5-ycap</w:t>
            </w:r>
            <w:r>
              <w:rPr>
                <w:b w:val="0"/>
                <w:sz w:val="18"/>
              </w:rPr>
              <w:t xml:space="preserve"> como medida del servicio</w:t>
            </w:r>
          </w:p>
        </w:tc>
        <w:tc>
          <w:tcPr>
            <w:tcW w:type="dxa" w:w="2460"/>
          </w:tcPr>
          <w:p>
            <w:r/>
            <w:r>
              <w:rPr>
                <w:b w:val="0"/>
                <w:sz w:val="18"/>
              </w:rPr>
              <w:t>El 96 % de los registros declara 4, 5 u 8 horas y el 96 % del tiempo figura como calculado</w:t>
            </w:r>
          </w:p>
        </w:tc>
        <w:tc>
          <w:tcPr>
            <w:tcW w:type="dxa" w:w="2460"/>
          </w:tcPr>
          <w:p>
            <w:r/>
            <w:r>
              <w:rPr>
                <w:b w:val="0"/>
                <w:sz w:val="18"/>
              </w:rPr>
              <w:t xml:space="preserve">Las horas del análisis salen de </w:t>
            </w:r>
            <w:r>
              <w:rPr>
                <w:rFonts w:ascii="Consolas" w:hAnsi="Consolas"/>
                <w:b w:val="0"/>
                <w:sz w:val="18"/>
              </w:rPr>
              <w:t>prestacion</w:t>
            </w:r>
          </w:p>
        </w:tc>
      </w:tr>
    </w:tbl>
    <w:p/>
    <w:p>
      <w:pPr>
        <w:pStyle w:val="Heading1"/>
      </w:pPr>
      <w:r>
        <w:rPr>
          <w:b w:val="0"/>
        </w:rPr>
        <w:t>9. Tablero de Power BI</w:t>
      </w:r>
    </w:p>
    <w:p>
      <w:r>
        <w:rPr>
          <w:b w:val="0"/>
        </w:rPr>
        <w:t xml:space="preserve">Siete páginas sobre las tablas de </w:t>
      </w:r>
      <w:r>
        <w:rPr>
          <w:rFonts w:ascii="Consolas" w:hAnsi="Consolas"/>
          <w:b w:val="0"/>
          <w:sz w:val="18"/>
        </w:rPr>
        <w:t>gold</w:t>
      </w:r>
      <w:r>
        <w:rPr>
          <w:b w:val="0"/>
        </w:rPr>
        <w:t xml:space="preserve"> (modo Importar): 1. Estado actual · 2. Brechas · 3. Evolución · 4. Operadores · 5. PQR ·</w:t>
      </w:r>
    </w:p>
    <w:p>
      <w:pPr>
        <w:pStyle w:val="ListNumber"/>
      </w:pPr>
      <w:r>
        <w:rPr>
          <w:b w:val="0"/>
        </w:rPr>
        <w:t>Peor desempeño · 7. Calidad y frescura. Las instrucciones para reconstruirlo, las medidas DAX y las lecturas recomendadas están en la</w:t>
      </w:r>
    </w:p>
    <w:p>
      <w:r>
        <w:rPr>
          <w:b w:val="0"/>
        </w:rPr>
        <w:t xml:space="preserve">sección 9 del </w:t>
      </w:r>
      <w:r>
        <w:rPr>
          <w:b w:val="0"/>
          <w:color w:val="1F4E9A"/>
        </w:rPr>
        <w:t>README</w:t>
      </w:r>
      <w:r>
        <w:rPr>
          <w:b w:val="0"/>
        </w:rPr>
        <w:t>.</w:t>
      </w:r>
    </w:p>
    <w:p>
      <w:r>
        <w:rPr>
          <w:b w:val="0"/>
        </w:rPr>
        <w:t>Se tomaron estas decisiones de diseño del tablero:</w:t>
      </w:r>
    </w:p>
    <w:p>
      <w:pPr>
        <w:pStyle w:val="ListBullet"/>
      </w:pPr>
      <w:r>
        <w:rPr>
          <w:b w:val="0"/>
        </w:rPr>
        <w:t xml:space="preserve">El </w:t>
      </w:r>
      <w:r>
        <w:rPr>
          <w:rFonts w:ascii="Consolas" w:hAnsi="Consolas"/>
          <w:b w:val="0"/>
          <w:sz w:val="18"/>
        </w:rPr>
        <w:t>% con servicio</w:t>
      </w:r>
      <w:r>
        <w:rPr>
          <w:b w:val="0"/>
        </w:rPr>
        <w:t xml:space="preserve"> es una medida (suma de localidades con servicio entre suma de reportadas), no un promedio de porcentajes.</w:t>
      </w:r>
    </w:p>
    <w:p>
      <w:pPr>
        <w:pStyle w:val="ListBullet"/>
      </w:pPr>
      <w:r>
        <w:rPr>
          <w:b w:val="0"/>
        </w:rPr>
        <w:t xml:space="preserve">Las tablas </w:t>
      </w:r>
      <w:r>
        <w:rPr>
          <w:rFonts w:ascii="Consolas" w:hAnsi="Consolas"/>
          <w:b w:val="0"/>
          <w:sz w:val="18"/>
        </w:rPr>
        <w:t>ind_*</w:t>
      </w:r>
      <w:r>
        <w:rPr>
          <w:b w:val="0"/>
        </w:rPr>
        <w:t xml:space="preserve"> no tienen relaciones; un calendario único conecta las páginas mensuales.</w:t>
      </w:r>
    </w:p>
    <w:p>
      <w:pPr>
        <w:pStyle w:val="ListBullet"/>
      </w:pPr>
      <w:r>
        <w:rPr>
          <w:b w:val="0"/>
        </w:rPr>
        <w:t>Cada página muestra el aviso de frescura de las fuentes que usa.</w:t>
      </w:r>
    </w:p>
    <w:p>
      <w:pPr>
        <w:pStyle w:val="ListBullet"/>
      </w:pPr>
      <w:r>
        <w:rPr>
          <w:b w:val="0"/>
        </w:rPr>
        <w:t>La página de PQR limita el eje a 60 casos y lo declara: Tumaco (≈ 767) quedaría fuera de escala.</w:t>
      </w:r>
    </w:p>
    <w:p>
      <w:pPr>
        <w:pStyle w:val="ListBullet"/>
      </w:pPr>
      <w:r>
        <w:rPr>
          <w:b w:val="0"/>
        </w:rPr>
        <w:t>La página de calidad muestra las pruebas no aprobadas (3 de 18) con su explicación, no las oculta.</w:t>
      </w:r>
    </w:p>
    <w:p>
      <w:pPr>
        <w:pStyle w:val="Heading1"/>
      </w:pPr>
      <w:r>
        <w:rPr>
          <w:b w:val="0"/>
        </w:rPr>
        <w:t>10. Limitaciones</w:t>
      </w:r>
    </w:p>
    <w:p>
      <w:pPr>
        <w:pStyle w:val="ListBullet"/>
      </w:pPr>
      <w:r>
        <w:rPr>
          <w:b/>
        </w:rPr>
        <w:t>Los datos no están al día.</w:t>
      </w:r>
      <w:r>
        <w:rPr>
          <w:b w:val="0"/>
        </w:rPr>
        <w:t xml:space="preserve"> Prestación termina en enero de 2026 y las otras dos fuentes están congeladas; no se puede afirmar el estado actual.</w:t>
      </w:r>
    </w:p>
    <w:p>
      <w:pPr>
        <w:pStyle w:val="ListBullet"/>
      </w:pPr>
      <w:r>
        <w:rPr>
          <w:b/>
        </w:rPr>
        <w:t>Reporte incompleto.</w:t>
      </w:r>
      <w:r>
        <w:rPr>
          <w:b w:val="0"/>
        </w:rPr>
        <w:t xml:space="preserve"> Entre 14 y 44 de las 97 localidades reportan cada mes. Puerto Leguízamo (≈ 65 % de la energía) no reportó en 24 de 73 meses, lo que produce caídas bruscas en la energía total que no son un cambio del servicio.</w:t>
      </w:r>
    </w:p>
    <w:p>
      <w:pPr>
        <w:pStyle w:val="ListBullet"/>
      </w:pPr>
      <w:r>
        <w:rPr>
          <w:b/>
        </w:rPr>
        <w:t>Operadores.</w:t>
      </w:r>
      <w:r>
        <w:rPr>
          <w:b w:val="0"/>
        </w:rPr>
        <w:t xml:space="preserve"> Solo 38 de 73 localidades y 9 meses tienen operador asignable.</w:t>
      </w:r>
    </w:p>
    <w:p>
      <w:pPr>
        <w:pStyle w:val="ListBullet"/>
      </w:pPr>
      <w:r>
        <w:rPr>
          <w:b/>
        </w:rPr>
        <w:t>PQR.</w:t>
      </w:r>
      <w:r>
        <w:rPr>
          <w:b w:val="0"/>
        </w:rPr>
        <w:t xml:space="preserve"> Son de gas, no se normalizan por población y no prueban una causa.</w:t>
      </w:r>
    </w:p>
    <w:p>
      <w:pPr>
        <w:pStyle w:val="ListBullet"/>
      </w:pPr>
      <w:r>
        <w:rPr>
          <w:b/>
        </w:rPr>
        <w:t>Potencia máxima.</w:t>
      </w:r>
      <w:r>
        <w:rPr>
          <w:b w:val="0"/>
        </w:rPr>
        <w:t xml:space="preserve"> No está disponible para 2025-12 y 2026-01.</w:t>
      </w:r>
    </w:p>
    <w:p>
      <w:pPr>
        <w:pStyle w:val="ListBullet"/>
      </w:pPr>
      <w:r>
        <w:rPr>
          <w:b/>
        </w:rPr>
        <w:t>Evolución.</w:t>
      </w:r>
      <w:r>
        <w:rPr>
          <w:b w:val="0"/>
        </w:rPr>
        <w:t xml:space="preserve"> Solo es medible en 26 de las 97 localidades; con tan pocas el cambio no se distingue de cero.</w:t>
      </w:r>
    </w:p>
    <w:p>
      <w:pPr>
        <w:pStyle w:val="ListBullet"/>
      </w:pPr>
      <w:r>
        <w:rPr>
          <w:b/>
        </w:rPr>
        <w:t>Sin catálogo DIVIPOLA.</w:t>
      </w:r>
      <w:r>
        <w:rPr>
          <w:b w:val="0"/>
        </w:rPr>
        <w:t xml:space="preserve"> La validez DANE verifica formato y jerarquía.</w:t>
      </w:r>
    </w:p>
    <w:p>
      <w:pPr>
        <w:pStyle w:val="Heading1"/>
      </w:pPr>
      <w:r>
        <w:rPr>
          <w:b w:val="0"/>
        </w:rPr>
        <w:t>11. Trabajo futuro (fase 2)</w:t>
      </w:r>
    </w:p>
    <w:p>
      <w:r>
        <w:rPr>
          <w:b w:val="0"/>
        </w:rPr>
        <w:t>Las preguntas de la sección 6.2 del avance siguen requiriendo fuentes adicionales: población por localidad (DANE), proyectos FAZNI/IPSE</w:t>
      </w:r>
      <w:r>
        <w:br/>
      </w:r>
      <w:r>
        <w:rPr>
          <w:b w:val="0"/>
        </w:rPr>
        <w:t>históricos, atlas de recursos renovables, costos y metas oficiales de cobertura. Antes de ellas convendría:</w:t>
      </w:r>
    </w:p>
    <w:p>
      <w:pPr>
        <w:pStyle w:val="ListNumber"/>
      </w:pPr>
      <w:r>
        <w:rPr>
          <w:b w:val="0"/>
        </w:rPr>
        <w:t>Incorporar el catálogo DIVIPOLA y validar la pertenencia de los códigos.</w:t>
      </w:r>
    </w:p>
    <w:p>
      <w:pPr>
        <w:pStyle w:val="ListNumber"/>
      </w:pPr>
      <w:r>
        <w:rPr>
          <w:b w:val="0"/>
        </w:rPr>
        <w:t>Programar la ejecución del pipeline y medir la disponibilidad (el KPI pendiente).</w:t>
      </w:r>
    </w:p>
    <w:p>
      <w:pPr>
        <w:pStyle w:val="ListNumber"/>
      </w:pPr>
      <w:r>
        <w:rPr>
          <w:b w:val="0"/>
        </w:rPr>
        <w:t xml:space="preserve">Solicitar a las entidades el reporte de </w:t>
      </w:r>
      <w:r>
        <w:rPr>
          <w:rFonts w:ascii="Consolas" w:hAnsi="Consolas"/>
          <w:b w:val="0"/>
          <w:sz w:val="18"/>
        </w:rPr>
        <w:t>operacion_diaria</w:t>
      </w:r>
      <w:r>
        <w:rPr>
          <w:b w:val="0"/>
        </w:rPr>
        <w:t xml:space="preserve"> y </w:t>
      </w:r>
      <w:r>
        <w:rPr>
          <w:rFonts w:ascii="Consolas" w:hAnsi="Consolas"/>
          <w:b w:val="0"/>
          <w:sz w:val="18"/>
        </w:rPr>
        <w:t>pqr</w:t>
      </w:r>
      <w:r>
        <w:rPr>
          <w:b w:val="0"/>
        </w:rPr>
        <w:t xml:space="preserve"> posterior a 2022 y 2023, o buscar fuentes que lo reemplacen.</w:t>
      </w:r>
    </w:p>
    <w:p>
      <w:pPr>
        <w:pStyle w:val="ListNumber"/>
      </w:pPr>
      <w:r>
        <w:rPr>
          <w:b w:val="0"/>
        </w:rPr>
        <w:t>Buscar una fuente de operador vigente para poder responder la pregunta 4 con datos recientes.</w:t>
      </w:r>
    </w:p>
    <w:p>
      <w:pPr>
        <w:pStyle w:val="Heading1"/>
      </w:pPr>
      <w:r>
        <w:rPr>
          <w:b w:val="0"/>
        </w:rPr>
        <w:t>12. Reproducir el trabajo</w:t>
      </w:r>
    </w:p>
    <w:p>
      <w:r>
        <w:rPr>
          <w:rFonts w:ascii="Consolas" w:hAnsi="Consolas"/>
          <w:sz w:val="17"/>
        </w:rPr>
        <w:t>git clone https://github.com/Lecho67/avance.git; cd avance</w:t>
        <w:br/>
        <w:t>python -m venv .venv; .venv\Scripts\Activate.ps1; pip install -r requirements.txt</w:t>
        <w:br/>
        <w:t>Copy-Item .env.example .env       # completar PG_PASSWORD (y PG_PORT si se usa Docker)</w:t>
        <w:br/>
        <w:t>python main.py                    # perfilado, extracción, silver, gold, carga y EDA</w:t>
        <w:br/>
        <w:t>pytest                            # 220 pruebas</w:t>
      </w:r>
    </w:p>
    <w:p>
      <w:r>
        <w:rPr>
          <w:b w:val="0"/>
        </w:rPr>
        <w:t xml:space="preserve">Detalles de instalación, configuración de PostgreSQL con Docker, ejecución por etapas y solución de problemas: </w:t>
      </w:r>
      <w:r>
        <w:rPr>
          <w:b w:val="0"/>
          <w:color w:val="1F4E9A"/>
        </w:rPr>
        <w:t>README</w:t>
      </w:r>
      <w:r>
        <w:rPr>
          <w:b w:val="0"/>
        </w:rPr>
        <w:t>.</w:t>
      </w:r>
    </w:p>
    <w:p>
      <w:pPr>
        <w:pStyle w:val="Heading1"/>
      </w:pPr>
      <w:r>
        <w:rPr>
          <w:b w:val="0"/>
        </w:rPr>
        <w:t>Anexo A. Tablas del modelo gold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80"/>
        <w:gridCol w:w="3280"/>
        <w:gridCol w:w="3280"/>
      </w:tblGrid>
      <w:tr>
        <w:tc>
          <w:tcPr>
            <w:tcW w:type="dxa" w:w="3280"/>
            <w:shd w:val="clear" w:color="auto" w:fill="D9E2F3"/>
          </w:tcPr>
          <w:p>
            <w:r/>
            <w:r>
              <w:rPr>
                <w:b/>
                <w:sz w:val="18"/>
              </w:rPr>
              <w:t>Tabla</w:t>
            </w:r>
          </w:p>
        </w:tc>
        <w:tc>
          <w:tcPr>
            <w:tcW w:type="dxa" w:w="3280"/>
            <w:shd w:val="clear" w:color="auto" w:fill="D9E2F3"/>
          </w:tcPr>
          <w:p>
            <w:r/>
            <w:r>
              <w:rPr>
                <w:b/>
                <w:sz w:val="18"/>
              </w:rPr>
              <w:t>Filas</w:t>
            </w:r>
          </w:p>
        </w:tc>
        <w:tc>
          <w:tcPr>
            <w:tcW w:type="dxa" w:w="3280"/>
            <w:shd w:val="clear" w:color="auto" w:fill="D9E2F3"/>
          </w:tcPr>
          <w:p>
            <w:r/>
            <w:r>
              <w:rPr>
                <w:b/>
                <w:sz w:val="18"/>
              </w:rPr>
              <w:t>Grano</w:t>
            </w:r>
          </w:p>
        </w:tc>
      </w:tr>
      <w:tr>
        <w:tc>
          <w:tcPr>
            <w:tcW w:type="dxa" w:w="3280"/>
          </w:tcPr>
          <w:p>
            <w:r/>
            <w:r>
              <w:rPr>
                <w:rFonts w:ascii="Consolas" w:hAnsi="Consolas"/>
                <w:b w:val="0"/>
                <w:sz w:val="18"/>
              </w:rPr>
              <w:t>dim_municipio</w:t>
            </w:r>
          </w:p>
        </w:tc>
        <w:tc>
          <w:tcPr>
            <w:tcW w:type="dxa" w:w="3280"/>
          </w:tcPr>
          <w:p>
            <w:r/>
            <w:r>
              <w:rPr>
                <w:b w:val="0"/>
                <w:sz w:val="18"/>
              </w:rPr>
              <w:t>133</w:t>
            </w:r>
          </w:p>
        </w:tc>
        <w:tc>
          <w:tcPr>
            <w:tcW w:type="dxa" w:w="3280"/>
          </w:tcPr>
          <w:p>
            <w:r/>
            <w:r>
              <w:rPr>
                <w:b w:val="0"/>
                <w:sz w:val="18"/>
              </w:rPr>
              <w:t>Municipio</w:t>
            </w:r>
          </w:p>
        </w:tc>
      </w:tr>
      <w:tr>
        <w:tc>
          <w:tcPr>
            <w:tcW w:type="dxa" w:w="3280"/>
          </w:tcPr>
          <w:p>
            <w:r/>
            <w:r>
              <w:rPr>
                <w:rFonts w:ascii="Consolas" w:hAnsi="Consolas"/>
                <w:b w:val="0"/>
                <w:sz w:val="18"/>
              </w:rPr>
              <w:t>dim_localidad</w:t>
            </w:r>
          </w:p>
        </w:tc>
        <w:tc>
          <w:tcPr>
            <w:tcW w:type="dxa" w:w="3280"/>
          </w:tcPr>
          <w:p>
            <w:r/>
            <w:r>
              <w:rPr>
                <w:b w:val="0"/>
                <w:sz w:val="18"/>
              </w:rPr>
              <w:t>97</w:t>
            </w:r>
          </w:p>
        </w:tc>
        <w:tc>
          <w:tcPr>
            <w:tcW w:type="dxa" w:w="3280"/>
          </w:tcPr>
          <w:p>
            <w:r/>
            <w:r>
              <w:rPr>
                <w:b w:val="0"/>
                <w:sz w:val="18"/>
              </w:rPr>
              <w:t>Localidad (código + nombre)</w:t>
            </w:r>
          </w:p>
        </w:tc>
      </w:tr>
      <w:tr>
        <w:tc>
          <w:tcPr>
            <w:tcW w:type="dxa" w:w="3280"/>
          </w:tcPr>
          <w:p>
            <w:r/>
            <w:r>
              <w:rPr>
                <w:rFonts w:ascii="Consolas" w:hAnsi="Consolas"/>
                <w:b w:val="0"/>
                <w:sz w:val="18"/>
              </w:rPr>
              <w:t>fact_prestacion</w:t>
            </w:r>
          </w:p>
        </w:tc>
        <w:tc>
          <w:tcPr>
            <w:tcW w:type="dxa" w:w="3280"/>
          </w:tcPr>
          <w:p>
            <w:r/>
            <w:r>
              <w:rPr>
                <w:b w:val="0"/>
                <w:sz w:val="18"/>
              </w:rPr>
              <w:t>2.327</w:t>
            </w:r>
          </w:p>
        </w:tc>
        <w:tc>
          <w:tcPr>
            <w:tcW w:type="dxa" w:w="3280"/>
          </w:tcPr>
          <w:p>
            <w:r/>
            <w:r>
              <w:rPr>
                <w:b w:val="0"/>
                <w:sz w:val="18"/>
              </w:rPr>
              <w:t>Localidad × mes</w:t>
            </w:r>
          </w:p>
        </w:tc>
      </w:tr>
      <w:tr>
        <w:tc>
          <w:tcPr>
            <w:tcW w:type="dxa" w:w="3280"/>
          </w:tcPr>
          <w:p>
            <w:r/>
            <w:r>
              <w:rPr>
                <w:rFonts w:ascii="Consolas" w:hAnsi="Consolas"/>
                <w:b w:val="0"/>
                <w:sz w:val="18"/>
              </w:rPr>
              <w:t>fact_pqr</w:t>
            </w:r>
          </w:p>
        </w:tc>
        <w:tc>
          <w:tcPr>
            <w:tcW w:type="dxa" w:w="3280"/>
          </w:tcPr>
          <w:p>
            <w:r/>
            <w:r>
              <w:rPr>
                <w:b w:val="0"/>
                <w:sz w:val="18"/>
              </w:rPr>
              <w:t>519</w:t>
            </w:r>
          </w:p>
        </w:tc>
        <w:tc>
          <w:tcPr>
            <w:tcW w:type="dxa" w:w="3280"/>
          </w:tcPr>
          <w:p>
            <w:r/>
            <w:r>
              <w:rPr>
                <w:b w:val="0"/>
                <w:sz w:val="18"/>
              </w:rPr>
              <w:t>Municipio × semestre × empresa</w:t>
            </w:r>
          </w:p>
        </w:tc>
      </w:tr>
      <w:tr>
        <w:tc>
          <w:tcPr>
            <w:tcW w:type="dxa" w:w="3280"/>
          </w:tcPr>
          <w:p>
            <w:r/>
            <w:r>
              <w:rPr>
                <w:rFonts w:ascii="Consolas" w:hAnsi="Consolas"/>
                <w:b w:val="0"/>
                <w:sz w:val="18"/>
              </w:rPr>
              <w:t>puente_operador_localidad</w:t>
            </w:r>
          </w:p>
        </w:tc>
        <w:tc>
          <w:tcPr>
            <w:tcW w:type="dxa" w:w="3280"/>
          </w:tcPr>
          <w:p>
            <w:r/>
            <w:r>
              <w:rPr>
                <w:b w:val="0"/>
                <w:sz w:val="18"/>
              </w:rPr>
              <w:t>992</w:t>
            </w:r>
          </w:p>
        </w:tc>
        <w:tc>
          <w:tcPr>
            <w:tcW w:type="dxa" w:w="3280"/>
          </w:tcPr>
          <w:p>
            <w:r/>
            <w:r>
              <w:rPr>
                <w:b w:val="0"/>
                <w:sz w:val="18"/>
              </w:rPr>
              <w:t>Código de operación × operador, con vigencia</w:t>
            </w:r>
          </w:p>
        </w:tc>
      </w:tr>
      <w:tr>
        <w:tc>
          <w:tcPr>
            <w:tcW w:type="dxa" w:w="3280"/>
          </w:tcPr>
          <w:p>
            <w:r/>
            <w:r>
              <w:rPr>
                <w:rFonts w:ascii="Consolas" w:hAnsi="Consolas"/>
                <w:b w:val="0"/>
                <w:sz w:val="18"/>
              </w:rPr>
              <w:t>ind_localidades_con_servicio</w:t>
            </w:r>
          </w:p>
        </w:tc>
        <w:tc>
          <w:tcPr>
            <w:tcW w:type="dxa" w:w="3280"/>
          </w:tcPr>
          <w:p>
            <w:r/>
            <w:r>
              <w:rPr>
                <w:b w:val="0"/>
                <w:sz w:val="18"/>
              </w:rPr>
              <w:t>282</w:t>
            </w:r>
          </w:p>
        </w:tc>
        <w:tc>
          <w:tcPr>
            <w:tcW w:type="dxa" w:w="3280"/>
          </w:tcPr>
          <w:p>
            <w:r/>
            <w:r>
              <w:rPr>
                <w:b w:val="0"/>
                <w:sz w:val="18"/>
              </w:rPr>
              <w:t>Departamento × mes</w:t>
            </w:r>
          </w:p>
        </w:tc>
      </w:tr>
      <w:tr>
        <w:tc>
          <w:tcPr>
            <w:tcW w:type="dxa" w:w="3280"/>
          </w:tcPr>
          <w:p>
            <w:r/>
            <w:r>
              <w:rPr>
                <w:rFonts w:ascii="Consolas" w:hAnsi="Consolas"/>
                <w:b w:val="0"/>
                <w:sz w:val="18"/>
              </w:rPr>
              <w:t>ind_horas_servicio_departamento</w:t>
            </w:r>
          </w:p>
        </w:tc>
        <w:tc>
          <w:tcPr>
            <w:tcW w:type="dxa" w:w="3280"/>
          </w:tcPr>
          <w:p>
            <w:r/>
            <w:r>
              <w:rPr>
                <w:b w:val="0"/>
                <w:sz w:val="18"/>
              </w:rPr>
              <w:t>282</w:t>
            </w:r>
          </w:p>
        </w:tc>
        <w:tc>
          <w:tcPr>
            <w:tcW w:type="dxa" w:w="3280"/>
          </w:tcPr>
          <w:p>
            <w:r/>
            <w:r>
              <w:rPr>
                <w:b w:val="0"/>
                <w:sz w:val="18"/>
              </w:rPr>
              <w:t>Departamento × mes</w:t>
            </w:r>
          </w:p>
        </w:tc>
      </w:tr>
      <w:tr>
        <w:tc>
          <w:tcPr>
            <w:tcW w:type="dxa" w:w="3280"/>
          </w:tcPr>
          <w:p>
            <w:r/>
            <w:r>
              <w:rPr>
                <w:rFonts w:ascii="Consolas" w:hAnsi="Consolas"/>
                <w:b w:val="0"/>
                <w:sz w:val="18"/>
              </w:rPr>
              <w:t>ind_horas_servicio_municipio</w:t>
            </w:r>
          </w:p>
        </w:tc>
        <w:tc>
          <w:tcPr>
            <w:tcW w:type="dxa" w:w="3280"/>
          </w:tcPr>
          <w:p>
            <w:r/>
            <w:r>
              <w:rPr>
                <w:b w:val="0"/>
                <w:sz w:val="18"/>
              </w:rPr>
              <w:t>785</w:t>
            </w:r>
          </w:p>
        </w:tc>
        <w:tc>
          <w:tcPr>
            <w:tcW w:type="dxa" w:w="3280"/>
          </w:tcPr>
          <w:p>
            <w:r/>
            <w:r>
              <w:rPr>
                <w:b w:val="0"/>
                <w:sz w:val="18"/>
              </w:rPr>
              <w:t>Municipio × mes</w:t>
            </w:r>
          </w:p>
        </w:tc>
      </w:tr>
      <w:tr>
        <w:tc>
          <w:tcPr>
            <w:tcW w:type="dxa" w:w="3280"/>
          </w:tcPr>
          <w:p>
            <w:r/>
            <w:r>
              <w:rPr>
                <w:rFonts w:ascii="Consolas" w:hAnsi="Consolas"/>
                <w:b w:val="0"/>
                <w:sz w:val="18"/>
              </w:rPr>
              <w:t>ind_brechas_horas_servicio</w:t>
            </w:r>
          </w:p>
        </w:tc>
        <w:tc>
          <w:tcPr>
            <w:tcW w:type="dxa" w:w="3280"/>
          </w:tcPr>
          <w:p>
            <w:r/>
            <w:r>
              <w:rPr>
                <w:b w:val="0"/>
                <w:sz w:val="18"/>
              </w:rPr>
              <w:t>112</w:t>
            </w:r>
          </w:p>
        </w:tc>
        <w:tc>
          <w:tcPr>
            <w:tcW w:type="dxa" w:w="3280"/>
          </w:tcPr>
          <w:p>
            <w:r/>
            <w:r>
              <w:rPr>
                <w:b w:val="0"/>
                <w:sz w:val="18"/>
              </w:rPr>
              <w:t>Departamento o municipio × año</w:t>
            </w:r>
          </w:p>
        </w:tc>
      </w:tr>
      <w:tr>
        <w:tc>
          <w:tcPr>
            <w:tcW w:type="dxa" w:w="3280"/>
          </w:tcPr>
          <w:p>
            <w:r/>
            <w:r>
              <w:rPr>
                <w:rFonts w:ascii="Consolas" w:hAnsi="Consolas"/>
                <w:b w:val="0"/>
                <w:sz w:val="18"/>
              </w:rPr>
              <w:t>ind_evolucion_mensual</w:t>
            </w:r>
          </w:p>
        </w:tc>
        <w:tc>
          <w:tcPr>
            <w:tcW w:type="dxa" w:w="3280"/>
          </w:tcPr>
          <w:p>
            <w:r/>
            <w:r>
              <w:rPr>
                <w:b w:val="0"/>
                <w:sz w:val="18"/>
              </w:rPr>
              <w:t>355</w:t>
            </w:r>
          </w:p>
        </w:tc>
        <w:tc>
          <w:tcPr>
            <w:tcW w:type="dxa" w:w="3280"/>
          </w:tcPr>
          <w:p>
            <w:r/>
            <w:r>
              <w:rPr>
                <w:b w:val="0"/>
                <w:sz w:val="18"/>
              </w:rPr>
              <w:t>Región o departamento × mes</w:t>
            </w:r>
          </w:p>
        </w:tc>
      </w:tr>
      <w:tr>
        <w:tc>
          <w:tcPr>
            <w:tcW w:type="dxa" w:w="3280"/>
          </w:tcPr>
          <w:p>
            <w:r/>
            <w:r>
              <w:rPr>
                <w:rFonts w:ascii="Consolas" w:hAnsi="Consolas"/>
                <w:b w:val="0"/>
                <w:sz w:val="18"/>
              </w:rPr>
              <w:t>ind_operador_localidad</w:t>
            </w:r>
          </w:p>
        </w:tc>
        <w:tc>
          <w:tcPr>
            <w:tcW w:type="dxa" w:w="3280"/>
          </w:tcPr>
          <w:p>
            <w:r/>
            <w:r>
              <w:rPr>
                <w:b w:val="0"/>
                <w:sz w:val="18"/>
              </w:rPr>
              <w:t>29</w:t>
            </w:r>
          </w:p>
        </w:tc>
        <w:tc>
          <w:tcPr>
            <w:tcW w:type="dxa" w:w="3280"/>
          </w:tcPr>
          <w:p>
            <w:r/>
            <w:r>
              <w:rPr>
                <w:b w:val="0"/>
                <w:sz w:val="18"/>
              </w:rPr>
              <w:t>Localidad × operador</w:t>
            </w:r>
          </w:p>
        </w:tc>
      </w:tr>
      <w:tr>
        <w:tc>
          <w:tcPr>
            <w:tcW w:type="dxa" w:w="3280"/>
          </w:tcPr>
          <w:p>
            <w:r/>
            <w:r>
              <w:rPr>
                <w:rFonts w:ascii="Consolas" w:hAnsi="Consolas"/>
                <w:b w:val="0"/>
                <w:sz w:val="18"/>
              </w:rPr>
              <w:t>ind_comparacion_operadores</w:t>
            </w:r>
          </w:p>
        </w:tc>
        <w:tc>
          <w:tcPr>
            <w:tcW w:type="dxa" w:w="3280"/>
          </w:tcPr>
          <w:p>
            <w:r/>
            <w:r>
              <w:rPr>
                <w:b w:val="0"/>
                <w:sz w:val="18"/>
              </w:rPr>
              <w:t>14</w:t>
            </w:r>
          </w:p>
        </w:tc>
        <w:tc>
          <w:tcPr>
            <w:tcW w:type="dxa" w:w="3280"/>
          </w:tcPr>
          <w:p>
            <w:r/>
            <w:r>
              <w:rPr>
                <w:b w:val="0"/>
                <w:sz w:val="18"/>
              </w:rPr>
              <w:t>Operador</w:t>
            </w:r>
          </w:p>
        </w:tc>
      </w:tr>
      <w:tr>
        <w:tc>
          <w:tcPr>
            <w:tcW w:type="dxa" w:w="3280"/>
          </w:tcPr>
          <w:p>
            <w:r/>
            <w:r>
              <w:rPr>
                <w:rFonts w:ascii="Consolas" w:hAnsi="Consolas"/>
                <w:b w:val="0"/>
                <w:sz w:val="18"/>
              </w:rPr>
              <w:t>ind_pqr_vs_horas_municipio</w:t>
            </w:r>
          </w:p>
        </w:tc>
        <w:tc>
          <w:tcPr>
            <w:tcW w:type="dxa" w:w="3280"/>
          </w:tcPr>
          <w:p>
            <w:r/>
            <w:r>
              <w:rPr>
                <w:b w:val="0"/>
                <w:sz w:val="18"/>
              </w:rPr>
              <w:t>153</w:t>
            </w:r>
          </w:p>
        </w:tc>
        <w:tc>
          <w:tcPr>
            <w:tcW w:type="dxa" w:w="3280"/>
          </w:tcPr>
          <w:p>
            <w:r/>
            <w:r>
              <w:rPr>
                <w:b w:val="0"/>
                <w:sz w:val="18"/>
              </w:rPr>
              <w:t>Municipio × semestre</w:t>
            </w:r>
          </w:p>
        </w:tc>
      </w:tr>
      <w:tr>
        <w:tc>
          <w:tcPr>
            <w:tcW w:type="dxa" w:w="3280"/>
          </w:tcPr>
          <w:p>
            <w:r/>
            <w:r>
              <w:rPr>
                <w:rFonts w:ascii="Consolas" w:hAnsi="Consolas"/>
                <w:b w:val="0"/>
                <w:sz w:val="18"/>
              </w:rPr>
              <w:t>ind_pqr_empresa_municipio</w:t>
            </w:r>
          </w:p>
        </w:tc>
        <w:tc>
          <w:tcPr>
            <w:tcW w:type="dxa" w:w="3280"/>
          </w:tcPr>
          <w:p>
            <w:r/>
            <w:r>
              <w:rPr>
                <w:b w:val="0"/>
                <w:sz w:val="18"/>
              </w:rPr>
              <w:t>519</w:t>
            </w:r>
          </w:p>
        </w:tc>
        <w:tc>
          <w:tcPr>
            <w:tcW w:type="dxa" w:w="3280"/>
          </w:tcPr>
          <w:p>
            <w:r/>
            <w:r>
              <w:rPr>
                <w:b w:val="0"/>
                <w:sz w:val="18"/>
              </w:rPr>
              <w:t>Municipio × semestre × empresa</w:t>
            </w:r>
          </w:p>
        </w:tc>
      </w:tr>
      <w:tr>
        <w:tc>
          <w:tcPr>
            <w:tcW w:type="dxa" w:w="3280"/>
          </w:tcPr>
          <w:p>
            <w:r/>
            <w:r>
              <w:rPr>
                <w:rFonts w:ascii="Consolas" w:hAnsi="Consolas"/>
                <w:b w:val="0"/>
                <w:sz w:val="18"/>
              </w:rPr>
              <w:t>ind_peor_desempeno_municipio</w:t>
            </w:r>
          </w:p>
        </w:tc>
        <w:tc>
          <w:tcPr>
            <w:tcW w:type="dxa" w:w="3280"/>
          </w:tcPr>
          <w:p>
            <w:r/>
            <w:r>
              <w:rPr>
                <w:b w:val="0"/>
                <w:sz w:val="18"/>
              </w:rPr>
              <w:t>13</w:t>
            </w:r>
          </w:p>
        </w:tc>
        <w:tc>
          <w:tcPr>
            <w:tcW w:type="dxa" w:w="3280"/>
          </w:tcPr>
          <w:p>
            <w:r/>
            <w:r>
              <w:rPr>
                <w:b w:val="0"/>
                <w:sz w:val="18"/>
              </w:rPr>
              <w:t>Municipio</w:t>
            </w:r>
          </w:p>
        </w:tc>
      </w:tr>
      <w:tr>
        <w:tc>
          <w:tcPr>
            <w:tcW w:type="dxa" w:w="3280"/>
          </w:tcPr>
          <w:p>
            <w:r/>
            <w:r>
              <w:rPr>
                <w:rFonts w:ascii="Consolas" w:hAnsi="Consolas"/>
                <w:b w:val="0"/>
                <w:sz w:val="18"/>
              </w:rPr>
              <w:t>ind_localidades_menos_horas</w:t>
            </w:r>
          </w:p>
        </w:tc>
        <w:tc>
          <w:tcPr>
            <w:tcW w:type="dxa" w:w="3280"/>
          </w:tcPr>
          <w:p>
            <w:r/>
            <w:r>
              <w:rPr>
                <w:b w:val="0"/>
                <w:sz w:val="18"/>
              </w:rPr>
              <w:t>77</w:t>
            </w:r>
          </w:p>
        </w:tc>
        <w:tc>
          <w:tcPr>
            <w:tcW w:type="dxa" w:w="3280"/>
          </w:tcPr>
          <w:p>
            <w:r/>
            <w:r>
              <w:rPr>
                <w:b w:val="0"/>
                <w:sz w:val="18"/>
              </w:rPr>
              <w:t>Localidad</w:t>
            </w:r>
          </w:p>
        </w:tc>
      </w:tr>
      <w:tr>
        <w:tc>
          <w:tcPr>
            <w:tcW w:type="dxa" w:w="3280"/>
          </w:tcPr>
          <w:p>
            <w:r/>
            <w:r>
              <w:rPr>
                <w:rFonts w:ascii="Consolas" w:hAnsi="Consolas"/>
                <w:b w:val="0"/>
                <w:sz w:val="18"/>
              </w:rPr>
              <w:t>meta_fuentes</w:t>
            </w:r>
          </w:p>
        </w:tc>
        <w:tc>
          <w:tcPr>
            <w:tcW w:type="dxa" w:w="3280"/>
          </w:tcPr>
          <w:p>
            <w:r/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3280"/>
          </w:tcPr>
          <w:p>
            <w:r/>
            <w:r>
              <w:rPr>
                <w:b w:val="0"/>
                <w:sz w:val="18"/>
              </w:rPr>
              <w:t>Fuente</w:t>
            </w:r>
          </w:p>
        </w:tc>
      </w:tr>
      <w:tr>
        <w:tc>
          <w:tcPr>
            <w:tcW w:type="dxa" w:w="3280"/>
          </w:tcPr>
          <w:p>
            <w:r/>
            <w:r>
              <w:rPr>
                <w:rFonts w:ascii="Consolas" w:hAnsi="Consolas"/>
                <w:b w:val="0"/>
                <w:sz w:val="18"/>
              </w:rPr>
              <w:t>meta_uniones</w:t>
            </w:r>
          </w:p>
        </w:tc>
        <w:tc>
          <w:tcPr>
            <w:tcW w:type="dxa" w:w="3280"/>
          </w:tcPr>
          <w:p>
            <w:r/>
            <w:r>
              <w:rPr>
                <w:b w:val="0"/>
                <w:sz w:val="18"/>
              </w:rPr>
              <w:t>18</w:t>
            </w:r>
          </w:p>
        </w:tc>
        <w:tc>
          <w:tcPr>
            <w:tcW w:type="dxa" w:w="3280"/>
          </w:tcPr>
          <w:p>
            <w:r/>
            <w:r>
              <w:rPr>
                <w:b w:val="0"/>
                <w:sz w:val="18"/>
              </w:rPr>
              <w:t>Unión × prueba</w:t>
            </w:r>
          </w:p>
        </w:tc>
      </w:tr>
      <w:tr>
        <w:tc>
          <w:tcPr>
            <w:tcW w:type="dxa" w:w="3280"/>
          </w:tcPr>
          <w:p>
            <w:r/>
            <w:r>
              <w:rPr>
                <w:rFonts w:ascii="Consolas" w:hAnsi="Consolas"/>
                <w:b w:val="0"/>
                <w:sz w:val="18"/>
              </w:rPr>
              <w:t>kpis_pipeline</w:t>
            </w:r>
          </w:p>
        </w:tc>
        <w:tc>
          <w:tcPr>
            <w:tcW w:type="dxa" w:w="3280"/>
          </w:tcPr>
          <w:p>
            <w:r/>
            <w:r>
              <w:rPr>
                <w:b w:val="0"/>
                <w:sz w:val="18"/>
              </w:rPr>
              <w:t>8</w:t>
            </w:r>
          </w:p>
        </w:tc>
        <w:tc>
          <w:tcPr>
            <w:tcW w:type="dxa" w:w="3280"/>
          </w:tcPr>
          <w:p>
            <w:r/>
            <w:r>
              <w:rPr>
                <w:b w:val="0"/>
                <w:sz w:val="18"/>
              </w:rPr>
              <w:t>Indicador</w:t>
            </w:r>
          </w:p>
        </w:tc>
      </w:tr>
    </w:tbl>
    <w:p/>
    <w:sectPr w:rsidR="00FC693F" w:rsidRPr="0006063C" w:rsidSect="00034616">
      <w:pgSz w:w="12240" w:h="15840"/>
      <w:pgMar w:top="1120" w:right="1200" w:bottom="1120" w:left="12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