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0309" cy="10690860"/>
            <wp:effectExtent b="0" l="0" r="0" t="0"/>
            <wp:wrapNone/>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0309" cy="1069086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872831" cy="176117"/>
            <wp:effectExtent b="0" l="0" r="0" t="0"/>
            <wp:docPr id="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2831" cy="1761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spacing w:before="121" w:lineRule="auto"/>
        <w:ind w:firstLine="178"/>
        <w:rPr/>
      </w:pPr>
      <w:r w:rsidDel="00000000" w:rsidR="00000000" w:rsidRPr="00000000">
        <w:rPr>
          <w:color w:val="5b9bd4"/>
          <w:rtl w:val="0"/>
        </w:rPr>
        <w:t xml:space="preserve">Nombre y características principales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215900</wp:posOffset>
                </wp:positionH>
                <wp:positionV relativeFrom="paragraph">
                  <wp:posOffset>-3301999</wp:posOffset>
                </wp:positionV>
                <wp:extent cx="5949315" cy="3242310"/>
                <wp:effectExtent b="0" l="0" r="0" t="0"/>
                <wp:wrapNone/>
                <wp:docPr id="16" name=""/>
                <a:graphic>
                  <a:graphicData uri="http://schemas.microsoft.com/office/word/2010/wordprocessingShape">
                    <wps:wsp>
                      <wps:cNvSpPr/>
                      <wps:cNvPr id="2" name="Shape 2"/>
                      <wps:spPr>
                        <a:xfrm>
                          <a:off x="3163506" y="2163608"/>
                          <a:ext cx="5939790" cy="3232785"/>
                        </a:xfrm>
                        <a:custGeom>
                          <a:rect b="b" l="l" r="r" t="t"/>
                          <a:pathLst>
                            <a:path extrusionOk="0" h="3232785" w="5939790">
                              <a:moveTo>
                                <a:pt x="0" y="0"/>
                              </a:moveTo>
                              <a:lnTo>
                                <a:pt x="0" y="3232785"/>
                              </a:lnTo>
                              <a:lnTo>
                                <a:pt x="5939790" y="3232785"/>
                              </a:lnTo>
                              <a:lnTo>
                                <a:pt x="5939790"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0" w:right="0" w:firstLine="0"/>
                              <w:jc w:val="both"/>
                              <w:textDirection w:val="btLr"/>
                            </w:pPr>
                            <w:r w:rsidDel="00000000" w:rsidR="00000000" w:rsidRPr="00000000">
                              <w:rPr>
                                <w:rFonts w:ascii="Tahoma" w:cs="Tahoma" w:eastAsia="Tahoma" w:hAnsi="Tahoma"/>
                                <w:b w:val="0"/>
                                <w:i w:val="0"/>
                                <w:smallCaps w:val="0"/>
                                <w:strike w:val="0"/>
                                <w:color w:val="808080"/>
                                <w:sz w:val="18"/>
                                <w:vertAlign w:val="baseline"/>
                              </w:rPr>
                              <w:t xml:space="preserve">Marzo 2017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808080"/>
                                <w:sz w:val="24"/>
                                <w:vertAlign w:val="baseline"/>
                              </w:rPr>
                            </w:r>
                            <w:r w:rsidDel="00000000" w:rsidR="00000000" w:rsidRPr="00000000">
                              <w:rPr>
                                <w:rFonts w:ascii="Arial" w:cs="Arial" w:eastAsia="Arial" w:hAnsi="Arial"/>
                                <w:b w:val="1"/>
                                <w:i w:val="1"/>
                                <w:smallCaps w:val="0"/>
                                <w:strike w:val="0"/>
                                <w:color w:val="5b9bd4"/>
                                <w:sz w:val="28"/>
                                <w:vertAlign w:val="baseline"/>
                              </w:rPr>
                              <w:t xml:space="preserve">Caja Ingenieros Environment ISR, FI</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1"/>
                                <w:smallCaps w:val="0"/>
                                <w:strike w:val="0"/>
                                <w:color w:val="000000"/>
                                <w:sz w:val="35"/>
                                <w:vertAlign w:val="baseline"/>
                              </w:rPr>
                            </w:r>
                            <w:r w:rsidDel="00000000" w:rsidR="00000000" w:rsidRPr="00000000">
                              <w:rPr>
                                <w:rFonts w:ascii="Tahoma" w:cs="Tahoma" w:eastAsia="Tahoma" w:hAnsi="Tahoma"/>
                                <w:b w:val="0"/>
                                <w:i w:val="0"/>
                                <w:smallCaps w:val="0"/>
                                <w:strike w:val="0"/>
                                <w:color w:val="000000"/>
                                <w:sz w:val="18"/>
                                <w:vertAlign w:val="baseline"/>
                              </w:rPr>
                              <w:t xml:space="preserve">En el presente documento se explican las principales características del fondo CI Environment ISR, FI, creado en Marzo 2017, que busca invertir en empresas que tienen en cuenta su impacto medioambiental, son líderes en la lucha contra el cambio climático y apuestan por nuevas prácticas de reducción de consumo de energía, generación de energía limpia, reducción de emisiones contaminantes. Además también se requiere que sean líderes en aspectos Sociales y de Gobierno (fondo con etiqueta ISR / ético)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215900</wp:posOffset>
                </wp:positionH>
                <wp:positionV relativeFrom="paragraph">
                  <wp:posOffset>-3301999</wp:posOffset>
                </wp:positionV>
                <wp:extent cx="5949315" cy="3242310"/>
                <wp:effectExtent b="0" l="0" r="0" t="0"/>
                <wp:wrapNone/>
                <wp:docPr id="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9315" cy="32423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304800</wp:posOffset>
                </wp:positionV>
                <wp:extent cx="6095" cy="12700"/>
                <wp:effectExtent b="0" l="0" r="0" t="0"/>
                <wp:wrapTopAndBottom distB="0" distT="0"/>
                <wp:docPr id="19" name=""/>
                <a:graphic>
                  <a:graphicData uri="http://schemas.microsoft.com/office/word/2010/wordprocessingShape">
                    <wps:wsp>
                      <wps:cNvSpPr/>
                      <wps:cNvPr id="8" name="Shape 8"/>
                      <wps:spPr>
                        <a:xfrm>
                          <a:off x="3441573" y="3776953"/>
                          <a:ext cx="5383657" cy="609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304800</wp:posOffset>
                </wp:positionV>
                <wp:extent cx="6095" cy="12700"/>
                <wp:effectExtent b="0" l="0" r="0" t="0"/>
                <wp:wrapTopAndBottom distB="0" distT="0"/>
                <wp:docPr id="1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095" cy="12700"/>
                        </a:xfrm>
                        <a:prstGeom prst="rect"/>
                        <a:ln/>
                      </pic:spPr>
                    </pic:pic>
                  </a:graphicData>
                </a:graphic>
              </wp:anchor>
            </w:drawing>
          </mc:Fallback>
        </mc:AlternateConten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-3987799</wp:posOffset>
                </wp:positionV>
                <wp:extent cx="6400800" cy="3939540"/>
                <wp:effectExtent b="0" l="0" r="0" t="0"/>
                <wp:wrapNone/>
                <wp:docPr id="33" name=""/>
                <a:graphic>
                  <a:graphicData uri="http://schemas.microsoft.com/office/word/2010/wordprocessingGroup">
                    <wpg:wgp>
                      <wpg:cNvGrpSpPr/>
                      <wpg:grpSpPr>
                        <a:xfrm>
                          <a:off x="2932350" y="1809575"/>
                          <a:ext cx="6400800" cy="3939540"/>
                          <a:chOff x="2932350" y="1809575"/>
                          <a:chExt cx="6401475" cy="3940200"/>
                        </a:xfrm>
                      </wpg:grpSpPr>
                      <wpg:grpSp>
                        <wpg:cNvGrpSpPr/>
                        <wpg:grpSpPr>
                          <a:xfrm>
                            <a:off x="2932366" y="1809595"/>
                            <a:ext cx="6401435" cy="3940160"/>
                            <a:chOff x="-635" y="-635"/>
                            <a:chExt cx="6401435" cy="3940160"/>
                          </a:xfrm>
                        </wpg:grpSpPr>
                        <wps:wsp>
                          <wps:cNvSpPr/>
                          <wps:cNvPr id="4" name="Shape 4"/>
                          <wps:spPr>
                            <a:xfrm>
                              <a:off x="0" y="0"/>
                              <a:ext cx="6400800" cy="393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981450" y="-635"/>
                              <a:ext cx="2273300" cy="660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35" y="636905"/>
                              <a:ext cx="6400800" cy="3302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-3987799</wp:posOffset>
                </wp:positionV>
                <wp:extent cx="6400800" cy="3939540"/>
                <wp:effectExtent b="0" l="0" r="0" t="0"/>
                <wp:wrapNone/>
                <wp:docPr id="33"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6400800" cy="393954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54" w:before="120" w:line="276" w:lineRule="auto"/>
        <w:ind w:left="178" w:right="6774"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Nombre: </w:t>
      </w:r>
      <w:r w:rsidDel="00000000" w:rsidR="00000000" w:rsidRPr="00000000">
        <w:rPr>
          <w:rFonts w:ascii="Trebuchet MS" w:cs="Trebuchet MS" w:eastAsia="Trebuchet MS" w:hAnsi="Trebuchet MS"/>
          <w:b w:val="1"/>
          <w:i w:val="0"/>
          <w:smallCaps w:val="0"/>
          <w:strike w:val="0"/>
          <w:color w:val="006fc0"/>
          <w:sz w:val="24"/>
          <w:szCs w:val="24"/>
          <w:u w:val="none"/>
          <w:shd w:fill="auto" w:val="clear"/>
          <w:vertAlign w:val="baseline"/>
          <w:rtl w:val="0"/>
        </w:rPr>
        <w:t xml:space="preserve">CI Environment ISR, FI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Inversión mínima: 500 euros Comisiones: 1,35%+9% / 0,20% Vocación CNMV: RVM Internacional</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4483100</wp:posOffset>
                </wp:positionH>
                <wp:positionV relativeFrom="paragraph">
                  <wp:posOffset>812800</wp:posOffset>
                </wp:positionV>
                <wp:extent cx="1177925" cy="85725"/>
                <wp:effectExtent b="0" l="0" r="0" t="0"/>
                <wp:wrapNone/>
                <wp:docPr id="23" name=""/>
                <a:graphic>
                  <a:graphicData uri="http://schemas.microsoft.com/office/word/2010/wordprocessingShape">
                    <wps:wsp>
                      <wps:cNvSpPr/>
                      <wps:cNvPr id="14" name="Shape 14"/>
                      <wps:spPr>
                        <a:xfrm>
                          <a:off x="5549201" y="3741900"/>
                          <a:ext cx="1168400" cy="76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4483100</wp:posOffset>
                </wp:positionH>
                <wp:positionV relativeFrom="paragraph">
                  <wp:posOffset>812800</wp:posOffset>
                </wp:positionV>
                <wp:extent cx="1177925" cy="85725"/>
                <wp:effectExtent b="0" l="0" r="0" t="0"/>
                <wp:wrapNone/>
                <wp:docPr id="2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177925" cy="857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4483100</wp:posOffset>
                </wp:positionH>
                <wp:positionV relativeFrom="paragraph">
                  <wp:posOffset>812800</wp:posOffset>
                </wp:positionV>
                <wp:extent cx="399415" cy="114300"/>
                <wp:effectExtent b="0" l="0" r="0" t="0"/>
                <wp:wrapNone/>
                <wp:docPr id="29" name=""/>
                <a:graphic>
                  <a:graphicData uri="http://schemas.microsoft.com/office/word/2010/wordprocessingShape">
                    <wps:wsp>
                      <wps:cNvSpPr/>
                      <wps:cNvPr id="23" name="Shape 23"/>
                      <wps:spPr>
                        <a:xfrm>
                          <a:off x="5938455" y="3727613"/>
                          <a:ext cx="389890" cy="104775"/>
                        </a:xfrm>
                        <a:custGeom>
                          <a:rect b="b" l="l" r="r" t="t"/>
                          <a:pathLst>
                            <a:path extrusionOk="0" h="104775" w="389890">
                              <a:moveTo>
                                <a:pt x="0" y="0"/>
                              </a:moveTo>
                              <a:lnTo>
                                <a:pt x="0" y="104775"/>
                              </a:lnTo>
                              <a:lnTo>
                                <a:pt x="389890" y="104775"/>
                              </a:lnTo>
                              <a:lnTo>
                                <a:pt x="38989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INVERCO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4483100</wp:posOffset>
                </wp:positionH>
                <wp:positionV relativeFrom="paragraph">
                  <wp:posOffset>812800</wp:posOffset>
                </wp:positionV>
                <wp:extent cx="399415" cy="114300"/>
                <wp:effectExtent b="0" l="0" r="0" t="0"/>
                <wp:wrapNone/>
                <wp:docPr id="29"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399415" cy="114300"/>
                        </a:xfrm>
                        <a:prstGeom prst="rect"/>
                        <a:ln/>
                      </pic:spPr>
                    </pic:pic>
                  </a:graphicData>
                </a:graphic>
              </wp:anchor>
            </w:drawing>
          </mc:Fallback>
        </mc:AlternateContent>
      </w:r>
    </w:p>
    <w:tbl>
      <w:tblPr>
        <w:tblStyle w:val="Table1"/>
        <w:tblW w:w="8886.0" w:type="dxa"/>
        <w:jc w:val="left"/>
        <w:tblInd w:w="2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51"/>
        <w:gridCol w:w="1756"/>
        <w:gridCol w:w="5379"/>
        <w:tblGridChange w:id="0">
          <w:tblGrid>
            <w:gridCol w:w="1751"/>
            <w:gridCol w:w="1756"/>
            <w:gridCol w:w="5379"/>
          </w:tblGrid>
        </w:tblGridChange>
      </w:tblGrid>
      <w:tr>
        <w:trPr>
          <w:cantSplit w:val="0"/>
          <w:trHeight w:val="202" w:hRule="atLeast"/>
          <w:tblHeader w:val="0"/>
        </w:trPr>
        <w:tc>
          <w:tcPr>
            <w:vMerge w:val="restart"/>
            <w:tcBorders>
              <w:bottom w:color="000000" w:space="0" w:sz="0" w:val="nil"/>
              <w:right w:color="000000" w:space="0" w:sz="12" w:val="single"/>
            </w:tcBorders>
            <w:shd w:fill="4f81bc"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Política de inversión</w:t>
            </w: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173" w:lineRule="auto"/>
              <w:ind w:left="277" w:right="277"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Benchmark</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173" w:lineRule="auto"/>
              <w:ind w:left="1594"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RV Mixta Internacional</w:t>
            </w:r>
          </w:p>
        </w:tc>
      </w:tr>
      <w:tr>
        <w:trPr>
          <w:cantSplit w:val="0"/>
          <w:trHeight w:val="42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Universo de inversión</w:t>
            </w:r>
          </w:p>
        </w:tc>
        <w:tc>
          <w:tcPr>
            <w:tcBorders>
              <w:top w:color="000000"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66"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MSCI Word con calificación mínima 3 por CDP</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3" w:lineRule="auto"/>
              <w:ind w:left="2115" w:right="2096"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RE100</w:t>
            </w:r>
          </w:p>
        </w:tc>
      </w:tr>
      <w:tr>
        <w:trPr>
          <w:cantSplit w:val="0"/>
          <w:trHeight w:val="464"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517"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Stoxx Global Reported Low Carbon</w:t>
            </w:r>
          </w:p>
        </w:tc>
      </w:tr>
      <w:tr>
        <w:trPr>
          <w:cantSplit w:val="0"/>
          <w:trHeight w:val="332"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ffffff"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605"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DJ Sustainability World Enlarged</w:t>
            </w:r>
          </w:p>
        </w:tc>
      </w:tr>
      <w:tr>
        <w:trPr>
          <w:cantSplit w:val="0"/>
          <w:trHeight w:val="189"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61" w:lineRule="auto"/>
              <w:ind w:left="266"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Exposición RV</w:t>
            </w:r>
          </w:p>
        </w:tc>
        <w:tc>
          <w:tcPr>
            <w:tcBorders>
              <w:top w:color="000000"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0" w:lineRule="auto"/>
              <w:ind w:left="2115" w:right="2104"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50-75%, resto RF</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0"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Rating</w:t>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1221"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Min 70% en BBB, resto mínimo B o sin rating</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7" w:right="277"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Duración</w:t>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113" w:right="2104"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Máximo 4 años</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1"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Depósitos</w:t>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1726"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Mismas condiciones resto RF</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0"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Divisa</w:t>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104" w:right="2104"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Sin limitaciones</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7"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Capitalización RV</w:t>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113" w:right="2104"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Media - alta</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1"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Emergentes</w:t>
            </w:r>
          </w:p>
        </w:tc>
        <w:tc>
          <w:tcPr>
            <w:tcBorders>
              <w:top w:color="ffffff" w:space="0" w:sz="12" w:val="single"/>
              <w:left w:color="000000" w:space="0" w:sz="12" w:val="single"/>
              <w:bottom w:color="ffffff" w:space="0" w:sz="12" w:val="single"/>
              <w:right w:color="000000" w:space="0" w:sz="12"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113" w:right="2104"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Máximo del 30%</w:t>
            </w:r>
          </w:p>
        </w:tc>
      </w:tr>
      <w:tr>
        <w:trPr>
          <w:cantSplit w:val="0"/>
          <w:trHeight w:val="200" w:hRule="atLeast"/>
          <w:tblHeader w:val="0"/>
        </w:trPr>
        <w:tc>
          <w:tcPr>
            <w:vMerge w:val="continue"/>
            <w:tcBorders>
              <w:bottom w:color="000000" w:space="0" w:sz="0" w:val="nil"/>
              <w:right w:color="000000" w:space="0" w:sz="12" w:val="single"/>
            </w:tcBorders>
            <w:shd w:fill="4f81bc"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75" w:right="281"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IIC</w:t>
            </w:r>
          </w:p>
        </w:tc>
        <w:tc>
          <w:tcPr>
            <w:tcBorders>
              <w:top w:color="ffffff"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72" w:lineRule="auto"/>
              <w:ind w:left="2113" w:right="2104" w:firstLine="0"/>
              <w:jc w:val="center"/>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Max. 10%</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spacing w:before="215" w:lineRule="auto"/>
        <w:ind w:firstLine="178"/>
        <w:rPr/>
      </w:pPr>
      <w:r w:rsidDel="00000000" w:rsidR="00000000" w:rsidRPr="00000000">
        <w:rPr>
          <w:color w:val="5b9bd4"/>
          <w:rtl w:val="0"/>
        </w:rPr>
        <w:t xml:space="preserve">Universo de Inversión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368300</wp:posOffset>
                </wp:positionV>
                <wp:extent cx="6096" cy="12700"/>
                <wp:effectExtent b="0" l="0" r="0" t="0"/>
                <wp:wrapTopAndBottom distB="0" distT="0"/>
                <wp:docPr id="31" name=""/>
                <a:graphic>
                  <a:graphicData uri="http://schemas.microsoft.com/office/word/2010/wordprocessingShape">
                    <wps:wsp>
                      <wps:cNvSpPr/>
                      <wps:cNvPr id="26" name="Shape 26"/>
                      <wps:spPr>
                        <a:xfrm>
                          <a:off x="3441573" y="3776952"/>
                          <a:ext cx="5383657" cy="6096"/>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368300</wp:posOffset>
                </wp:positionV>
                <wp:extent cx="6096" cy="12700"/>
                <wp:effectExtent b="0" l="0" r="0" t="0"/>
                <wp:wrapTopAndBottom distB="0" distT="0"/>
                <wp:docPr id="31"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78" w:right="35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 universo de inverso de inversión, esta formado de las empresas que estén presentes en los siguientes índices o cumplan con las siguientes condiciones: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spacing w:before="0" w:lineRule="auto"/>
        <w:ind w:left="178" w:right="0" w:firstLine="0"/>
        <w:jc w:val="left"/>
        <w:rPr>
          <w:sz w:val="18"/>
          <w:szCs w:val="18"/>
        </w:rPr>
      </w:pPr>
      <w:r w:rsidDel="00000000" w:rsidR="00000000" w:rsidRPr="00000000">
        <w:rPr>
          <w:rFonts w:ascii="Trebuchet MS" w:cs="Trebuchet MS" w:eastAsia="Trebuchet MS" w:hAnsi="Trebuchet MS"/>
          <w:b w:val="1"/>
          <w:sz w:val="18"/>
          <w:szCs w:val="18"/>
          <w:rtl w:val="0"/>
        </w:rPr>
        <w:t xml:space="preserve">MSCI World con nota mínima CDP de 3 (escala 0 a 5): </w:t>
      </w:r>
      <w:r w:rsidDel="00000000" w:rsidR="00000000" w:rsidRPr="00000000">
        <w:rPr>
          <w:sz w:val="18"/>
          <w:szCs w:val="18"/>
          <w:rtl w:val="0"/>
        </w:rPr>
        <w:t xml:space="preserve">Aproximadamente 600 compañías que cumplen con los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ahoma" w:cs="Tahoma" w:eastAsia="Tahoma" w:hAnsi="Tahom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6096000" cy="419100"/>
                <wp:effectExtent b="0" l="0" r="0" t="0"/>
                <wp:wrapTopAndBottom distB="0" distT="0"/>
                <wp:docPr id="30" name=""/>
                <a:graphic>
                  <a:graphicData uri="http://schemas.microsoft.com/office/word/2010/wordprocessingGroup">
                    <wpg:wgp>
                      <wpg:cNvGrpSpPr/>
                      <wpg:grpSpPr>
                        <a:xfrm>
                          <a:off x="3084750" y="3570450"/>
                          <a:ext cx="6096000" cy="419100"/>
                          <a:chOff x="3084750" y="3570450"/>
                          <a:chExt cx="6096650" cy="419100"/>
                        </a:xfrm>
                      </wpg:grpSpPr>
                      <wpg:grpSp>
                        <wpg:cNvGrpSpPr/>
                        <wpg:grpSpPr>
                          <a:xfrm>
                            <a:off x="3084765" y="3570450"/>
                            <a:ext cx="6096635" cy="419100"/>
                            <a:chOff x="-635" y="0"/>
                            <a:chExt cx="6096635" cy="419100"/>
                          </a:xfrm>
                        </wpg:grpSpPr>
                        <wps:wsp>
                          <wps:cNvSpPr/>
                          <wps:cNvPr id="4" name="Shape 4"/>
                          <wps:spPr>
                            <a:xfrm>
                              <a:off x="0" y="0"/>
                              <a:ext cx="6096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635" y="0"/>
                              <a:ext cx="6096000" cy="419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6096000" cy="419100"/>
                <wp:effectExtent b="0" l="0" r="0" t="0"/>
                <wp:wrapTopAndBottom distB="0" distT="0"/>
                <wp:docPr id="30"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096000" cy="419100"/>
                        </a:xfrm>
                        <a:prstGeom prst="rect"/>
                        <a:ln/>
                      </pic:spPr>
                    </pic:pic>
                  </a:graphicData>
                </a:graphic>
              </wp:anchor>
            </w:drawing>
          </mc:Fallback>
        </mc:AlternateContent>
      </w:r>
      <w:r w:rsidDel="00000000" w:rsidR="00000000" w:rsidRPr="00000000"/>
      <w:r w:rsidDel="00000000" w:rsidR="00000000" w:rsidRPr="00000000"/>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spacing w:before="100" w:lineRule="auto"/>
        <w:ind w:left="0" w:right="1617" w:firstLine="0"/>
        <w:jc w:val="right"/>
        <w:rPr>
          <w:sz w:val="14"/>
          <w:szCs w:val="14"/>
        </w:rPr>
        <w:sectPr>
          <w:pgSz w:h="16840" w:w="11910" w:orient="portrait"/>
          <w:pgMar w:bottom="0" w:top="0" w:left="1240" w:right="560" w:header="360" w:footer="360"/>
          <w:pgNumType w:start="1"/>
        </w:sectPr>
      </w:pPr>
      <w:r w:rsidDel="00000000" w:rsidR="00000000" w:rsidRPr="00000000">
        <w:rPr>
          <w:sz w:val="14"/>
          <w:szCs w:val="14"/>
          <w:rtl w:val="0"/>
        </w:rPr>
        <w:t xml:space="preserve">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0309" cy="10690860"/>
            <wp:effectExtent b="0" l="0" r="0" t="0"/>
            <wp:wrapNone/>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0309" cy="10690860"/>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1872831" cy="176117"/>
            <wp:effectExtent b="0" l="0" r="0" t="0"/>
            <wp:docPr id="3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2831" cy="17611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estándares mínimos de publicación de datos sobre emisiones.</w: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-584199</wp:posOffset>
                </wp:positionV>
                <wp:extent cx="2209800" cy="749300"/>
                <wp:effectExtent b="0" l="0" r="0" t="0"/>
                <wp:wrapNone/>
                <wp:docPr id="18" name=""/>
                <a:graphic>
                  <a:graphicData uri="http://schemas.microsoft.com/office/word/2010/wordprocessingGroup">
                    <wpg:wgp>
                      <wpg:cNvGrpSpPr/>
                      <wpg:grpSpPr>
                        <a:xfrm>
                          <a:off x="5028500" y="3404700"/>
                          <a:ext cx="2209800" cy="749300"/>
                          <a:chOff x="5028500" y="3404700"/>
                          <a:chExt cx="2209800" cy="749950"/>
                        </a:xfrm>
                      </wpg:grpSpPr>
                      <wpg:grpSp>
                        <wpg:cNvGrpSpPr/>
                        <wpg:grpSpPr>
                          <a:xfrm>
                            <a:off x="5028500" y="3404715"/>
                            <a:ext cx="2209800" cy="749935"/>
                            <a:chOff x="0" y="-635"/>
                            <a:chExt cx="2209800" cy="749935"/>
                          </a:xfrm>
                        </wpg:grpSpPr>
                        <wps:wsp>
                          <wps:cNvSpPr/>
                          <wps:cNvPr id="4" name="Shape 4"/>
                          <wps:spPr>
                            <a:xfrm>
                              <a:off x="0" y="0"/>
                              <a:ext cx="2209800" cy="74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35"/>
                              <a:ext cx="2209800" cy="74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-584199</wp:posOffset>
                </wp:positionV>
                <wp:extent cx="2209800" cy="749300"/>
                <wp:effectExtent b="0" l="0" r="0" t="0"/>
                <wp:wrapNone/>
                <wp:docPr id="1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2209800" cy="7493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Adscritas al RE100: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Aproximadamente 80 compañías (y en aumento) que suscriben el compromiso RE100 derivado 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COP21</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es decir, que el 100% de la energía que utilizan en sus procesos proviene de fuentes renovables.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spacing w:before="0" w:line="276" w:lineRule="auto"/>
        <w:ind w:left="178" w:right="625" w:firstLine="0"/>
        <w:jc w:val="both"/>
        <w:rPr>
          <w:sz w:val="18"/>
          <w:szCs w:val="18"/>
        </w:rPr>
      </w:pPr>
      <w:r w:rsidDel="00000000" w:rsidR="00000000" w:rsidRPr="00000000">
        <w:rPr>
          <w:rFonts w:ascii="Trebuchet MS" w:cs="Trebuchet MS" w:eastAsia="Trebuchet MS" w:hAnsi="Trebuchet MS"/>
          <w:b w:val="1"/>
          <w:sz w:val="18"/>
          <w:szCs w:val="18"/>
          <w:rtl w:val="0"/>
        </w:rPr>
        <w:t xml:space="preserve">Stoxx Global Reported Low Carbon: </w:t>
      </w:r>
      <w:r w:rsidDel="00000000" w:rsidR="00000000" w:rsidRPr="00000000">
        <w:rPr>
          <w:sz w:val="18"/>
          <w:szCs w:val="18"/>
          <w:rtl w:val="0"/>
        </w:rPr>
        <w:t xml:space="preserve">Aproximadamente 270 compañías que se han comprometido públicamente a ofrecer datos de sus emisiones.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 w:right="1152"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DJ Sustainability World Enlarged: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Aproximadamente 520 compañías que ya conocemos por su participación en el universo del Fonengin ISR y que están filtradas por criterios ASG.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178" w:right="569"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fecha de elaboración de este informe, esto da lugar a 937 compañías. El universo se analizará en base por el scoring ambiental y por el scoring total que suministra Sustainalytics, quedando al criterio del gestor la selección de compañías y evitando controversias en todos los niveles ASG de elevada intensidad. Este screening genera un universo de compañías líderes en ESG que a su vez, tienen una calidad superior a la media en gestión de los riesgos ambientales.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178" w:right="569"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Semestralmente se revisa la composición de universo, mientras que trimestralmente se analiza el scoring de cada una de las compañías.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3" w:lineRule="auto"/>
        <w:ind w:left="178" w:right="571"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política de venta de aquellas compañías en cartera que dejen de cumplir con los requisitos del universo invertible, y la política de exclusión por controversias será la misma definida para la estrategia ISR y que ya se viene aplicando en el Fonengin ISR.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firstLine="178"/>
        <w:jc w:val="both"/>
        <w:rPr/>
      </w:pPr>
      <w:r w:rsidDel="00000000" w:rsidR="00000000" w:rsidRPr="00000000">
        <w:rPr>
          <w:color w:val="5b9bd4"/>
          <w:rtl w:val="0"/>
        </w:rPr>
        <w:t xml:space="preserve">Política de exclusión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228600</wp:posOffset>
                </wp:positionV>
                <wp:extent cx="6095" cy="12700"/>
                <wp:effectExtent b="0" l="0" r="0" t="0"/>
                <wp:wrapTopAndBottom distB="0" distT="0"/>
                <wp:docPr id="27" name=""/>
                <a:graphic>
                  <a:graphicData uri="http://schemas.microsoft.com/office/word/2010/wordprocessingShape">
                    <wps:wsp>
                      <wps:cNvSpPr/>
                      <wps:cNvPr id="20" name="Shape 20"/>
                      <wps:spPr>
                        <a:xfrm>
                          <a:off x="3441573" y="3776953"/>
                          <a:ext cx="5383657" cy="6095"/>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228600</wp:posOffset>
                </wp:positionV>
                <wp:extent cx="6095" cy="12700"/>
                <wp:effectExtent b="0" l="0" r="0" t="0"/>
                <wp:wrapTopAndBottom distB="0" distT="0"/>
                <wp:docPr id="27"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6095" cy="127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Respecto al universo definido anteriormente, se realizan las exclusiones que se indican a continuación en caso que fueran necesarias.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Exclusiones específicas bajo el criterio ambiental:</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3"/>
          <w:tab w:val="left" w:leader="none" w:pos="1214"/>
        </w:tabs>
        <w:spacing w:after="0" w:before="152" w:line="240" w:lineRule="auto"/>
        <w:ind w:left="1213" w:right="0" w:hanging="676"/>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de generación de energía cuya fuente provenga en más de un 30% del mineral de carbón</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3"/>
          <w:tab w:val="left" w:leader="none" w:pos="1214"/>
        </w:tabs>
        <w:spacing w:after="0" w:before="33" w:line="240" w:lineRule="auto"/>
        <w:ind w:left="1213" w:right="0" w:hanging="676"/>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que participen de la exploración de recursos energéticos en el ártico</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3"/>
          <w:tab w:val="left" w:leader="none" w:pos="1214"/>
        </w:tabs>
        <w:spacing w:after="0" w:before="32" w:line="271" w:lineRule="auto"/>
        <w:ind w:left="1213" w:right="569" w:hanging="675"/>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que realicen prácticas de extracción agresiva, como por ejemplo las denominadas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como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arenas bituminosa</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408" w:lineRule="auto"/>
        <w:ind w:left="178" w:right="1289"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Adicionalmente también se realizará la exclusión general que se aplica para el resto de fondos de inversión: Sector defensa:</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8"/>
          <w:tab w:val="left" w:leader="none" w:pos="899"/>
        </w:tabs>
        <w:spacing w:after="0" w:before="0" w:line="220" w:lineRule="auto"/>
        <w:ind w:left="898" w:right="0" w:hanging="361"/>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Fabricantes de armas, explosivos o vehículos militares</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8"/>
          <w:tab w:val="left" w:leader="none" w:pos="899"/>
        </w:tabs>
        <w:spacing w:after="0" w:before="26" w:line="403" w:lineRule="auto"/>
        <w:ind w:left="178" w:right="2916" w:firstLine="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Fabricantes de componentes específicos para la industria militar (&gt;10% revenue) Sector tabaco:</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8"/>
          <w:tab w:val="left" w:leader="none" w:pos="899"/>
        </w:tabs>
        <w:spacing w:after="0" w:before="4" w:line="240" w:lineRule="auto"/>
        <w:ind w:left="898" w:right="0" w:hanging="361"/>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Fabricantes de tabaco</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8"/>
          <w:tab w:val="left" w:leader="none" w:pos="899"/>
        </w:tabs>
        <w:spacing w:after="0" w:before="29" w:line="405" w:lineRule="auto"/>
        <w:ind w:left="178" w:right="3047" w:firstLine="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Otras compañías con ingresos específicos del sector tabaco (&gt;30% revenue) Deuda soberana de países que estén clasificados con un IDH medio o bajo según la ONU. Controversia nivel 5 en cualquiera de las áreas ASG.</w:t>
      </w:r>
    </w:p>
    <w:p w:rsidR="00000000" w:rsidDel="00000000" w:rsidP="00000000" w:rsidRDefault="00000000" w:rsidRPr="00000000" w14:paraId="0000007F">
      <w:pPr>
        <w:pStyle w:val="Heading1"/>
        <w:spacing w:before="105" w:lineRule="auto"/>
        <w:ind w:firstLine="178"/>
        <w:rPr/>
      </w:pPr>
      <w:r w:rsidDel="00000000" w:rsidR="00000000" w:rsidRPr="00000000">
        <w:rPr>
          <w:color w:val="5b9bd4"/>
          <w:rtl w:val="0"/>
        </w:rPr>
        <w:t xml:space="preserve">ISR</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304800</wp:posOffset>
                </wp:positionV>
                <wp:extent cx="6096" cy="12700"/>
                <wp:effectExtent b="0" l="0" r="0" t="0"/>
                <wp:wrapTopAndBottom distB="0" distT="0"/>
                <wp:docPr id="25" name=""/>
                <a:graphic>
                  <a:graphicData uri="http://schemas.microsoft.com/office/word/2010/wordprocessingShape">
                    <wps:wsp>
                      <wps:cNvSpPr/>
                      <wps:cNvPr id="18" name="Shape 18"/>
                      <wps:spPr>
                        <a:xfrm>
                          <a:off x="3441573" y="3776952"/>
                          <a:ext cx="5383657" cy="6096"/>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304800</wp:posOffset>
                </wp:positionV>
                <wp:extent cx="6096" cy="12700"/>
                <wp:effectExtent b="0" l="0" r="0" t="0"/>
                <wp:wrapTopAndBottom distB="0" distT="0"/>
                <wp:docPr id="2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78" w:right="572"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Tal y como se define el fondo tiene consideración ISR (fondo ético), ya que el filtro de compañías se realiza en base a un criterio AMBIENTAL pero también SOCIAL y de GOBIERNO. El fondo está clasificado como </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ético</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por tanto forma parte del universo de Spainsif y las diferentes clasificaciones del sector. Una vez publicada su cartera obtendrá rating sostenible de Morningstar y calificación de calidad ASG por MSCI.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ahoma" w:cs="Tahoma" w:eastAsia="Tahoma" w:hAnsi="Tahom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6197600" cy="596900"/>
                <wp:effectExtent b="0" l="0" r="0" t="0"/>
                <wp:wrapTopAndBottom distB="0" distT="0"/>
                <wp:docPr id="21" name=""/>
                <a:graphic>
                  <a:graphicData uri="http://schemas.microsoft.com/office/word/2010/wordprocessingGroup">
                    <wpg:wgp>
                      <wpg:cNvGrpSpPr/>
                      <wpg:grpSpPr>
                        <a:xfrm>
                          <a:off x="3034600" y="3480900"/>
                          <a:ext cx="6197600" cy="596900"/>
                          <a:chOff x="3034600" y="3480900"/>
                          <a:chExt cx="6197600" cy="597550"/>
                        </a:xfrm>
                      </wpg:grpSpPr>
                      <wpg:grpSp>
                        <wpg:cNvGrpSpPr/>
                        <wpg:grpSpPr>
                          <a:xfrm>
                            <a:off x="3034600" y="3480915"/>
                            <a:ext cx="6197600" cy="597535"/>
                            <a:chOff x="0" y="-635"/>
                            <a:chExt cx="6197600" cy="597535"/>
                          </a:xfrm>
                        </wpg:grpSpPr>
                        <wps:wsp>
                          <wps:cNvSpPr/>
                          <wps:cNvPr id="4" name="Shape 4"/>
                          <wps:spPr>
                            <a:xfrm>
                              <a:off x="0" y="0"/>
                              <a:ext cx="6197600" cy="59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635"/>
                              <a:ext cx="6197600" cy="596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6197600" cy="596900"/>
                <wp:effectExtent b="0" l="0" r="0" t="0"/>
                <wp:wrapTopAndBottom distB="0" distT="0"/>
                <wp:docPr id="21"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197600" cy="596900"/>
                        </a:xfrm>
                        <a:prstGeom prst="rect"/>
                        <a:ln/>
                      </pic:spPr>
                    </pic:pic>
                  </a:graphicData>
                </a:graphic>
              </wp:anchor>
            </w:drawing>
          </mc:Fallback>
        </mc:AlternateContent>
      </w:r>
      <w:r w:rsidDel="00000000" w:rsidR="00000000" w:rsidRPr="00000000"/>
      <w:r w:rsidDel="00000000" w:rsidR="00000000" w:rsidRPr="00000000"/>
    </w:p>
    <w:p w:rsidR="00000000" w:rsidDel="00000000" w:rsidP="00000000" w:rsidRDefault="00000000" w:rsidRPr="00000000" w14:paraId="00000083">
      <w:pPr>
        <w:spacing w:before="114" w:lineRule="auto"/>
        <w:ind w:left="0" w:right="1617" w:firstLine="0"/>
        <w:jc w:val="right"/>
        <w:rPr>
          <w:sz w:val="14"/>
          <w:szCs w:val="14"/>
        </w:rPr>
        <w:sectPr>
          <w:type w:val="nextPage"/>
          <w:pgSz w:h="16840" w:w="11910" w:orient="portrait"/>
          <w:pgMar w:bottom="0" w:top="0" w:left="1240" w:right="560" w:header="360" w:footer="360"/>
        </w:sectPr>
      </w:pPr>
      <w:r w:rsidDel="00000000" w:rsidR="00000000" w:rsidRPr="00000000">
        <w:rPr>
          <w:sz w:val="14"/>
          <w:szCs w:val="14"/>
          <w:rtl w:val="0"/>
        </w:rPr>
        <w:t xml:space="preserve">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0309" cy="10690860"/>
            <wp:effectExtent b="0" l="0" r="0" t="0"/>
            <wp:wrapNone/>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0309" cy="10690860"/>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1872831" cy="176117"/>
            <wp:effectExtent b="0" l="0" r="0" t="0"/>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2831" cy="17611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203200</wp:posOffset>
                </wp:positionV>
                <wp:extent cx="2654300" cy="508000"/>
                <wp:effectExtent b="0" l="0" r="0" t="0"/>
                <wp:wrapTopAndBottom distB="0" distT="0"/>
                <wp:docPr id="28" name=""/>
                <a:graphic>
                  <a:graphicData uri="http://schemas.microsoft.com/office/word/2010/wordprocessingGroup">
                    <wpg:wgp>
                      <wpg:cNvGrpSpPr/>
                      <wpg:grpSpPr>
                        <a:xfrm>
                          <a:off x="4806250" y="3525350"/>
                          <a:ext cx="2654300" cy="508000"/>
                          <a:chOff x="4806250" y="3525350"/>
                          <a:chExt cx="2654300" cy="508650"/>
                        </a:xfrm>
                      </wpg:grpSpPr>
                      <wpg:grpSp>
                        <wpg:cNvGrpSpPr/>
                        <wpg:grpSpPr>
                          <a:xfrm>
                            <a:off x="4806250" y="3525365"/>
                            <a:ext cx="2654300" cy="508635"/>
                            <a:chOff x="0" y="-635"/>
                            <a:chExt cx="2654300" cy="508635"/>
                          </a:xfrm>
                        </wpg:grpSpPr>
                        <wps:wsp>
                          <wps:cNvSpPr/>
                          <wps:cNvPr id="4" name="Shape 4"/>
                          <wps:spPr>
                            <a:xfrm>
                              <a:off x="0" y="0"/>
                              <a:ext cx="2654300" cy="5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635"/>
                              <a:ext cx="2654300" cy="508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203200</wp:posOffset>
                </wp:positionV>
                <wp:extent cx="2654300" cy="508000"/>
                <wp:effectExtent b="0" l="0" r="0" t="0"/>
                <wp:wrapTopAndBottom distB="0" distT="0"/>
                <wp:docPr id="28"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2654300" cy="508000"/>
                        </a:xfrm>
                        <a:prstGeom prst="rect"/>
                        <a:ln/>
                      </pic:spPr>
                    </pic:pic>
                  </a:graphicData>
                </a:graphic>
              </wp:anchor>
            </w:drawing>
          </mc:Fallback>
        </mc:AlternateContent>
      </w:r>
      <w:r w:rsidDel="00000000" w:rsidR="00000000" w:rsidRPr="00000000"/>
    </w:p>
    <w:p w:rsidR="00000000" w:rsidDel="00000000" w:rsidP="00000000" w:rsidRDefault="00000000" w:rsidRPr="00000000" w14:paraId="00000088">
      <w:pPr>
        <w:pStyle w:val="Heading1"/>
        <w:spacing w:after="110" w:before="54" w:lineRule="auto"/>
        <w:ind w:firstLine="178"/>
        <w:rPr/>
      </w:pPr>
      <w:r w:rsidDel="00000000" w:rsidR="00000000" w:rsidRPr="00000000">
        <w:rPr>
          <w:color w:val="5b9bd4"/>
          <w:rtl w:val="0"/>
        </w:rPr>
        <w:t xml:space="preserve">Política de inversión</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5384165" cy="6350"/>
                <wp:effectExtent b="0" l="0" r="0" t="0"/>
                <wp:docPr id="32" name=""/>
                <a:graphic>
                  <a:graphicData uri="http://schemas.microsoft.com/office/word/2010/wordprocessingGroup">
                    <wpg:wgp>
                      <wpg:cNvGrpSpPr/>
                      <wpg:grpSpPr>
                        <a:xfrm>
                          <a:off x="2653900" y="3776825"/>
                          <a:ext cx="5384165" cy="6350"/>
                          <a:chOff x="2653900" y="3776825"/>
                          <a:chExt cx="5384200" cy="6350"/>
                        </a:xfrm>
                      </wpg:grpSpPr>
                      <wpg:grpSp>
                        <wpg:cNvGrpSpPr/>
                        <wpg:grpSpPr>
                          <a:xfrm>
                            <a:off x="2653918" y="3776825"/>
                            <a:ext cx="5384165" cy="6350"/>
                            <a:chOff x="0" y="0"/>
                            <a:chExt cx="5384165" cy="6350"/>
                          </a:xfrm>
                        </wpg:grpSpPr>
                        <wps:wsp>
                          <wps:cNvSpPr/>
                          <wps:cNvPr id="4" name="Shape 4"/>
                          <wps:spPr>
                            <a:xfrm>
                              <a:off x="0" y="0"/>
                              <a:ext cx="53841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5384165" cy="6350"/>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384165" cy="6350"/>
                <wp:effectExtent b="0" l="0" r="0" t="0"/>
                <wp:docPr id="32"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3841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178" w:right="571"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Parte A (DFI y folleto completo):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esta IIC aplica criterios ISR (de Inversión Socialmente Responsable), por lo que sus inversiones se guiarán por principios tanto éticos como financieros. Las inversiones se realizarán en compañías que tienen en cuenta su impacto medioambiental, son líderes en la lucha contra el cambio climático o apuestan por nuevas prácticas de reducción de consumo de energía. La selección de los emisores la realizará la Gestora, integrando el desempeño de cada compañía en aspectos ambientales, sociales y de gobierno en el análisis financiero.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 w:right="576"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exposición a renta variable estará entre 50-75%, sin predeterminación por capitalización, emisores, divisas o países. El resto estará invertido en renta fija sin mínimo por países o divisas, incluyendo instrumentos del mercado monetario y depósitos, de la que como mínimo un 70% será de calidad crediticia media (min. BBB). El resto será de calidad crediticia media o baja (min.B, máx 25%) o en emisores que no hayan sido calificados. La inversión en deuda pública se limitará al 15% y será en países con IDH alto o muy alto en el índice elaborado por la ONU. La duración media de la renta fija será como máximo 4 años.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78" w:right="575"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inversión máxima en países emergentes será del 30%. Podrá invertir hasta un 10% del patrimonio a través de IIC catalogadas como sostenibles, medioambientales o de RSC por agencia especializada.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78" w:right="572"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exposición a divisa oscilará entre el 0% y el 100%. El grado máximo de exposición a riesgo de mercado por derivados es el patrimonio neto.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 w:right="572"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Parte B (sólo folleto completo):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 objetivo del fondo es superar la rentabilidad media a un año de los fondos inscritos en la categoría Renta Variable Mixta Internacional según Inverco. Dicha rentabilidad se puede consultar en la página </w:t>
      </w:r>
      <w:hyperlink r:id="rId22">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www.inverco.es</w:t>
        </w:r>
      </w:hyperlink>
      <w:hyperlink r:id="rId23">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78" w:right="568"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utilidad del índice es la de ilustrar al partícipe acerca del riesgo potencial de su inversión en el Fondo, por ser un índice representativo del comportamiento de los valores o mercados en los que invierte el Fondo sin estar limitada la inversión a los mismos y/o sus componentes. Sin embargo, la rentabilidad del Fondo no estará determinada por la revalorización de dicho índice. No obstante, la Sociedad Gestora podrá modificar el índice citado atendiendo a las condiciones de mercado o a cambios en los criterios de inversión, eligiendo siempre índices representativos de los mercados a los que se refiere la política de inversión descrita. En el caso de que se modifique el índice, se comunicará a los partícipes en los informes periódicos.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 w:right="572"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 Fondo se caracteriza por invertir en compañías que tienen en cuenta su impacto medioambiental, son líderes en la lucha contra el cambio climático y apuestan por prácticas de reducción de consumo de energía, generación de energía limpia y transparencia sobre su generación de emisiones contaminantes. También se incluirán empresas recogidas en índices que tienen entre los atributos para su elaboración características de sostenibilidad, gestión medioambiental y de responsabilidad social (RSC). En concreto, la selección de las inversiones corporativas para la cartera del fondo se llevará a cabo teniendo en cuenta, al margen de los aspectos propiamente financieros, las siguientes características:</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5"/>
        </w:tabs>
        <w:spacing w:after="0" w:before="0" w:line="213" w:lineRule="auto"/>
        <w:ind w:left="294" w:right="0" w:hanging="11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excelencia en la gestión de los riesgos medio ambientales de la compañía.</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5"/>
        </w:tabs>
        <w:spacing w:after="0" w:before="33" w:line="240" w:lineRule="auto"/>
        <w:ind w:left="294" w:right="0" w:hanging="117"/>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 transparencia en la publicación de sus datos de emisiones contaminantes.</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5"/>
        </w:tabs>
        <w:spacing w:after="0" w:before="32" w:line="240" w:lineRule="auto"/>
        <w:ind w:left="294" w:right="0" w:hanging="117"/>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Su compromiso en la lucha contra el cambio climático y la reducción de emisiones.</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5"/>
        </w:tabs>
        <w:spacing w:after="0" w:before="30" w:line="240" w:lineRule="auto"/>
        <w:ind w:left="294" w:right="0" w:hanging="117"/>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Su apuesta por nuevas tecnologías que impliquen la reducción de consumo de energía de origen fósil.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Quedarán excluidas de la inversión: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de generación de energía cuya fuente provenga en más de un 30% del mineral de carbón.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78"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que participen de la exploración de recursos energéticos en el ártico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83" w:lineRule="auto"/>
        <w:ind w:left="178"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Compañías que realicen prácticas de extracción agresiva, como por ejemplo las denominadas como “arenas bituminosas”.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5435600</wp:posOffset>
                </wp:positionH>
                <wp:positionV relativeFrom="paragraph">
                  <wp:posOffset>1320800</wp:posOffset>
                </wp:positionV>
                <wp:extent cx="62865" cy="129539"/>
                <wp:effectExtent b="0" l="0" r="0" t="0"/>
                <wp:wrapNone/>
                <wp:docPr id="22" name=""/>
                <a:graphic>
                  <a:graphicData uri="http://schemas.microsoft.com/office/word/2010/wordprocessingShape">
                    <wps:wsp>
                      <wps:cNvSpPr/>
                      <wps:cNvPr id="13" name="Shape 13"/>
                      <wps:spPr>
                        <a:xfrm>
                          <a:off x="6106730" y="3719993"/>
                          <a:ext cx="53340" cy="120014"/>
                        </a:xfrm>
                        <a:custGeom>
                          <a:rect b="b" l="l" r="r" t="t"/>
                          <a:pathLst>
                            <a:path extrusionOk="0" h="120014" w="53340">
                              <a:moveTo>
                                <a:pt x="0" y="0"/>
                              </a:moveTo>
                              <a:lnTo>
                                <a:pt x="0" y="120014"/>
                              </a:lnTo>
                              <a:lnTo>
                                <a:pt x="53340" y="120014"/>
                              </a:lnTo>
                              <a:lnTo>
                                <a:pt x="533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4"/>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5435600</wp:posOffset>
                </wp:positionH>
                <wp:positionV relativeFrom="paragraph">
                  <wp:posOffset>1320800</wp:posOffset>
                </wp:positionV>
                <wp:extent cx="62865" cy="129539"/>
                <wp:effectExtent b="0" l="0" r="0" t="0"/>
                <wp:wrapNone/>
                <wp:docPr id="22"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62865" cy="129539"/>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sectPr>
          <w:type w:val="nextPage"/>
          <w:pgSz w:h="16840" w:w="11910" w:orient="portrait"/>
          <w:pgMar w:bottom="0" w:top="0" w:left="1240" w:right="560" w:header="360" w:footer="36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6282690" cy="950594"/>
                <wp:effectExtent b="0" l="0" r="0" t="0"/>
                <wp:wrapTopAndBottom distB="0" distT="0"/>
                <wp:docPr id="24" name=""/>
                <a:graphic>
                  <a:graphicData uri="http://schemas.microsoft.com/office/word/2010/wordprocessingGroup">
                    <wpg:wgp>
                      <wpg:cNvGrpSpPr/>
                      <wpg:grpSpPr>
                        <a:xfrm>
                          <a:off x="2991400" y="3304700"/>
                          <a:ext cx="6282690" cy="950594"/>
                          <a:chOff x="2991400" y="3304700"/>
                          <a:chExt cx="6283350" cy="950600"/>
                        </a:xfrm>
                      </wpg:grpSpPr>
                      <wpg:grpSp>
                        <wpg:cNvGrpSpPr/>
                        <wpg:grpSpPr>
                          <a:xfrm>
                            <a:off x="2991421" y="3304703"/>
                            <a:ext cx="6283310" cy="951228"/>
                            <a:chOff x="-635" y="0"/>
                            <a:chExt cx="6283310" cy="951228"/>
                          </a:xfrm>
                        </wpg:grpSpPr>
                        <wps:wsp>
                          <wps:cNvSpPr/>
                          <wps:cNvPr id="4" name="Shape 4"/>
                          <wps:spPr>
                            <a:xfrm>
                              <a:off x="0" y="0"/>
                              <a:ext cx="6282675" cy="95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35" y="200659"/>
                              <a:ext cx="6282690" cy="750569"/>
                            </a:xfrm>
                            <a:custGeom>
                              <a:rect b="b" l="l" r="r" t="t"/>
                              <a:pathLst>
                                <a:path extrusionOk="0" h="750569" w="6282690">
                                  <a:moveTo>
                                    <a:pt x="6282690" y="45084"/>
                                  </a:moveTo>
                                  <a:lnTo>
                                    <a:pt x="4657090" y="45084"/>
                                  </a:lnTo>
                                  <a:lnTo>
                                    <a:pt x="4657090" y="153034"/>
                                  </a:lnTo>
                                  <a:lnTo>
                                    <a:pt x="1625600" y="153034"/>
                                  </a:lnTo>
                                  <a:lnTo>
                                    <a:pt x="1625600" y="0"/>
                                  </a:lnTo>
                                  <a:lnTo>
                                    <a:pt x="0" y="0"/>
                                  </a:lnTo>
                                  <a:lnTo>
                                    <a:pt x="0" y="596899"/>
                                  </a:lnTo>
                                  <a:lnTo>
                                    <a:pt x="53975" y="596899"/>
                                  </a:lnTo>
                                  <a:lnTo>
                                    <a:pt x="53975" y="749934"/>
                                  </a:lnTo>
                                  <a:lnTo>
                                    <a:pt x="6251575" y="749934"/>
                                  </a:lnTo>
                                  <a:lnTo>
                                    <a:pt x="6251575" y="641984"/>
                                  </a:lnTo>
                                  <a:lnTo>
                                    <a:pt x="6282690" y="641984"/>
                                  </a:lnTo>
                                  <a:lnTo>
                                    <a:pt x="6282690" y="45084"/>
                                  </a:lnTo>
                                  <a:close/>
                                </a:path>
                              </a:pathLst>
                            </a:custGeom>
                            <a:solidFill>
                              <a:srgbClr val="FFFFFF"/>
                            </a:solidFill>
                            <a:ln>
                              <a:noFill/>
                            </a:ln>
                          </wps:spPr>
                          <wps:bodyPr anchorCtr="0" anchor="ctr" bIns="91425" lIns="91425" spcFirstLastPara="1" rIns="91425" wrap="square" tIns="91425">
                            <a:noAutofit/>
                          </wps:bodyPr>
                        </wps:wsp>
                        <wps:wsp>
                          <wps:cNvSpPr/>
                          <wps:cNvPr id="17" name="Shape 17"/>
                          <wps:spPr>
                            <a:xfrm>
                              <a:off x="-635" y="0"/>
                              <a:ext cx="6282690" cy="950594"/>
                            </a:xfrm>
                            <a:custGeom>
                              <a:rect b="b" l="l" r="r" t="t"/>
                              <a:pathLst>
                                <a:path extrusionOk="0" h="950594" w="6282690">
                                  <a:moveTo>
                                    <a:pt x="0" y="0"/>
                                  </a:moveTo>
                                  <a:lnTo>
                                    <a:pt x="0" y="950594"/>
                                  </a:lnTo>
                                  <a:lnTo>
                                    <a:pt x="6282690" y="950594"/>
                                  </a:lnTo>
                                  <a:lnTo>
                                    <a:pt x="6282690" y="0"/>
                                  </a:lnTo>
                                  <a:close/>
                                </a:path>
                              </a:pathLst>
                            </a:custGeom>
                            <a:solidFill>
                              <a:srgbClr val="FFFFFF"/>
                            </a:solidFill>
                            <a:ln>
                              <a:noFill/>
                            </a:ln>
                          </wps:spPr>
                          <wps:txbx>
                            <w:txbxContent>
                              <w:p w:rsidR="00000000" w:rsidDel="00000000" w:rsidP="00000000" w:rsidRDefault="00000000" w:rsidRPr="00000000">
                                <w:pPr>
                                  <w:spacing w:after="0" w:before="1.0000000149011612" w:line="240"/>
                                  <w:ind w:left="68.00000190734863" w:right="462.99999237060547" w:firstLine="68.00000190734863"/>
                                  <w:jc w:val="center"/>
                                  <w:textDirection w:val="btLr"/>
                                </w:pPr>
                                <w:r w:rsidDel="00000000" w:rsidR="00000000" w:rsidRPr="00000000">
                                  <w:rPr>
                                    <w:rFonts w:ascii="Tahoma" w:cs="Tahoma" w:eastAsia="Tahoma" w:hAnsi="Tahoma"/>
                                    <w:b w:val="0"/>
                                    <w:i w:val="0"/>
                                    <w:smallCaps w:val="0"/>
                                    <w:strike w:val="0"/>
                                    <w:color w:val="000000"/>
                                    <w:sz w:val="18"/>
                                    <w:vertAlign w:val="baseline"/>
                                  </w:rPr>
                                  <w:t xml:space="preserve">La selección y revisión de dichos requisitos se realizará por la Sociedad Gestora, dando lugar a un universo global de</w:t>
                                </w:r>
                              </w:p>
                              <w:p w:rsidR="00000000" w:rsidDel="00000000" w:rsidP="00000000" w:rsidRDefault="00000000" w:rsidRPr="00000000">
                                <w:pPr>
                                  <w:spacing w:after="0" w:before="32.99999952316284" w:line="240"/>
                                  <w:ind w:left="590.9999847412109" w:right="462.99999237060547" w:firstLine="590.9999847412109"/>
                                  <w:jc w:val="center"/>
                                  <w:textDirection w:val="btLr"/>
                                </w:pPr>
                                <w:r w:rsidDel="00000000" w:rsidR="00000000" w:rsidRPr="00000000">
                                  <w:rPr>
                                    <w:rFonts w:ascii="Tahoma" w:cs="Tahoma" w:eastAsia="Tahoma" w:hAnsi="Tahoma"/>
                                    <w:b w:val="0"/>
                                    <w:i w:val="0"/>
                                    <w:smallCaps w:val="0"/>
                                    <w:strike w:val="0"/>
                                    <w:color w:val="000000"/>
                                    <w:sz w:val="18"/>
                                    <w:vertAlign w:val="baseline"/>
                                  </w:rPr>
                                </w:r>
                                <w:r w:rsidDel="00000000" w:rsidR="00000000" w:rsidRPr="00000000">
                                  <w:rPr>
                                    <w:rFonts w:ascii="Tahoma" w:cs="Tahoma" w:eastAsia="Tahoma" w:hAnsi="Tahoma"/>
                                    <w:b w:val="0"/>
                                    <w:i w:val="0"/>
                                    <w:smallCaps w:val="0"/>
                                    <w:strike w:val="0"/>
                                    <w:color w:val="000000"/>
                                    <w:sz w:val="18"/>
                                    <w:vertAlign w:val="baseline"/>
                                  </w:rPr>
                                  <w:t xml:space="preserve">compañías, aunque se podrá invertir hasta un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6282690" cy="950594"/>
                <wp:effectExtent b="0" l="0" r="0" t="0"/>
                <wp:wrapTopAndBottom distB="0" distT="0"/>
                <wp:docPr id="24"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6282690" cy="950594"/>
                        </a:xfrm>
                        <a:prstGeom prst="rect"/>
                        <a:ln/>
                      </pic:spPr>
                    </pic:pic>
                  </a:graphicData>
                </a:graphic>
              </wp:anchor>
            </w:drawing>
          </mc:Fallback>
        </mc:AlternateContent>
      </w:r>
      <w:r w:rsidDel="00000000" w:rsidR="00000000" w:rsidRPr="00000000"/>
      <w:r w:rsidDel="00000000" w:rsidR="00000000" w:rsidRPr="00000000"/>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0309" cy="10690860"/>
            <wp:effectExtent b="0" l="0" r="0" t="0"/>
            <wp:wrapNone/>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0309" cy="10690860"/>
                    </a:xfrm>
                    <a:prstGeom prst="rect"/>
                    <a:ln/>
                  </pic:spPr>
                </pic:pic>
              </a:graphicData>
            </a:graphic>
          </wp:anchor>
        </w:drawing>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drawing>
          <wp:inline distB="0" distT="0" distL="0" distR="0">
            <wp:extent cx="1872831" cy="176117"/>
            <wp:effectExtent b="0" l="0" r="0" t="0"/>
            <wp:docPr id="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2831" cy="17611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203200</wp:posOffset>
                </wp:positionV>
                <wp:extent cx="2235200" cy="850900"/>
                <wp:effectExtent b="0" l="0" r="0" t="0"/>
                <wp:wrapTopAndBottom distB="0" distT="0"/>
                <wp:docPr id="20" name=""/>
                <a:graphic>
                  <a:graphicData uri="http://schemas.microsoft.com/office/word/2010/wordprocessingGroup">
                    <wpg:wgp>
                      <wpg:cNvGrpSpPr/>
                      <wpg:grpSpPr>
                        <a:xfrm>
                          <a:off x="5015800" y="3353900"/>
                          <a:ext cx="2235200" cy="850900"/>
                          <a:chOff x="5015800" y="3353900"/>
                          <a:chExt cx="2235200" cy="851550"/>
                        </a:xfrm>
                      </wpg:grpSpPr>
                      <wpg:grpSp>
                        <wpg:cNvGrpSpPr/>
                        <wpg:grpSpPr>
                          <a:xfrm>
                            <a:off x="5015800" y="3353915"/>
                            <a:ext cx="2235200" cy="851535"/>
                            <a:chOff x="0" y="-635"/>
                            <a:chExt cx="2235200" cy="851535"/>
                          </a:xfrm>
                        </wpg:grpSpPr>
                        <wps:wsp>
                          <wps:cNvSpPr/>
                          <wps:cNvPr id="4" name="Shape 4"/>
                          <wps:spPr>
                            <a:xfrm>
                              <a:off x="0" y="0"/>
                              <a:ext cx="2235200" cy="85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635"/>
                              <a:ext cx="2235200" cy="850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203200</wp:posOffset>
                </wp:positionV>
                <wp:extent cx="2235200" cy="850900"/>
                <wp:effectExtent b="0" l="0" r="0" t="0"/>
                <wp:wrapTopAndBottom distB="0" distT="0"/>
                <wp:docPr id="20"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2235200" cy="850900"/>
                        </a:xfrm>
                        <a:prstGeom prst="rect"/>
                        <a:ln/>
                      </pic:spPr>
                    </pic:pic>
                  </a:graphicData>
                </a:graphic>
              </wp:anchor>
            </w:drawing>
          </mc:Fallback>
        </mc:AlternateContent>
      </w:r>
      <w:r w:rsidDel="00000000" w:rsidR="00000000" w:rsidRPr="00000000"/>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8"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 en compañías que no pertenezcan al universo definido pero que sean coherentes con la etiqueta ISR del fondo y que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6" w:lineRule="auto"/>
        <w:ind w:left="178" w:right="575"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destaquen por la innovación frente al cambio climático, la reducción de emisiones contaminantes o por su excelente gestión de los riesgos medio ambientales, en línea con el resto de compañías presentes en el fondo. Se informará periódicamente mediante los informes a partícipes de los índices o criterios seleccionados, así como de aquellas inversiones que no estando incluidas en dicho universo forman parte de la cartera. El universo inicial estará definido por: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2"/>
        </w:tabs>
        <w:spacing w:after="0" w:before="0" w:line="276" w:lineRule="auto"/>
        <w:ind w:left="178" w:right="572"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presentes en el índice MSCI World y que tienen una calificación mínima por el proyecto Carbon Disclosure Project de 3 (escala 0 a 5), por lo que cumplen con los estándares mínimos de publicación de datos sobre emisiones.</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1"/>
        </w:tabs>
        <w:spacing w:after="0" w:before="0" w:line="276" w:lineRule="auto"/>
        <w:ind w:left="178" w:right="57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que suscriben el compromiso RE100 derivado de COP21, es decir, se comprometen a que en un plazo determinado el 100% de la energía que utilizan en sus procesos provenga de fuentes renovables.</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9"/>
        </w:tabs>
        <w:spacing w:after="0" w:before="0" w:line="276" w:lineRule="auto"/>
        <w:ind w:left="178" w:right="578"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Compañías presentes en el Stoxx Global Reported Low Carbon, índice global de compañías que se han comprometido públicamente a ofrecer datos de sus emisiones.</w:t>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1"/>
        </w:tabs>
        <w:spacing w:after="0" w:before="0" w:line="273" w:lineRule="auto"/>
        <w:ind w:left="178" w:right="58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DJ Sustainability World Enlarged, índice global que representa las mejores compañías a nivel de gestión ambiental, social y de buen gobierno corporativo.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78" w:right="571"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Los índices escogidos seleccionan empresas a nivel mundial de acuerdo con criterios de responsabilidad social, ética y medioambiental. Su utilidad es la de definir un universo de inversión ISR. Sin embargo, la rentabilidad del fondo no estará determinada por la revalorización de estos índices, al no replicar el fondo la distribución de inversiones del modelo teórico adoptado por estos índices, además de tratarse de índices que, a diferencia del fondo, tienen exposición total a renta variable.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215900</wp:posOffset>
                </wp:positionH>
                <wp:positionV relativeFrom="paragraph">
                  <wp:posOffset>1066800</wp:posOffset>
                </wp:positionV>
                <wp:extent cx="5930900" cy="4815205"/>
                <wp:effectExtent b="0" l="0" r="0" t="0"/>
                <wp:wrapNone/>
                <wp:docPr id="26" name=""/>
                <a:graphic>
                  <a:graphicData uri="http://schemas.microsoft.com/office/word/2010/wordprocessingShape">
                    <wps:wsp>
                      <wps:cNvSpPr/>
                      <wps:cNvPr id="19" name="Shape 19"/>
                      <wps:spPr>
                        <a:xfrm>
                          <a:off x="3172714" y="1377160"/>
                          <a:ext cx="5921375" cy="4805680"/>
                        </a:xfrm>
                        <a:custGeom>
                          <a:rect b="b" l="l" r="r" t="t"/>
                          <a:pathLst>
                            <a:path extrusionOk="0" h="4805680" w="5921375">
                              <a:moveTo>
                                <a:pt x="0" y="0"/>
                              </a:moveTo>
                              <a:lnTo>
                                <a:pt x="0" y="4805680"/>
                              </a:lnTo>
                              <a:lnTo>
                                <a:pt x="5921375" y="4805680"/>
                              </a:lnTo>
                              <a:lnTo>
                                <a:pt x="5921375" y="0"/>
                              </a:lnTo>
                              <a:close/>
                            </a:path>
                          </a:pathLst>
                        </a:custGeom>
                        <a:solidFill>
                          <a:srgbClr val="FFFFFF"/>
                        </a:solid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Arial" w:cs="Arial" w:eastAsia="Arial" w:hAnsi="Arial"/>
                                <w:b w:val="1"/>
                                <w:i w:val="1"/>
                                <w:smallCaps w:val="0"/>
                                <w:strike w:val="0"/>
                                <w:color w:val="5b9bd4"/>
                                <w:sz w:val="24"/>
                                <w:vertAlign w:val="baseline"/>
                              </w:rPr>
                              <w:t xml:space="preserve">Disclaimer</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p>
                          <w:p w:rsidR="00000000" w:rsidDel="00000000" w:rsidP="00000000" w:rsidRDefault="00000000" w:rsidRPr="00000000">
                            <w:pPr>
                              <w:spacing w:after="0" w:before="0" w:line="273.0000114440918"/>
                              <w:ind w:left="0" w:right="0" w:firstLine="0"/>
                              <w:jc w:val="left"/>
                              <w:textDirection w:val="btLr"/>
                            </w:pPr>
                            <w:r w:rsidDel="00000000" w:rsidR="00000000" w:rsidRPr="00000000">
                              <w:rPr>
                                <w:rFonts w:ascii="Arial" w:cs="Arial" w:eastAsia="Arial" w:hAnsi="Arial"/>
                                <w:b w:val="1"/>
                                <w:i w:val="1"/>
                                <w:smallCaps w:val="0"/>
                                <w:strike w:val="0"/>
                                <w:color w:val="000000"/>
                                <w:sz w:val="35"/>
                                <w:vertAlign w:val="baseline"/>
                              </w:rPr>
                            </w:r>
                            <w:r w:rsidDel="00000000" w:rsidR="00000000" w:rsidRPr="00000000">
                              <w:rPr>
                                <w:rFonts w:ascii="Tahoma" w:cs="Tahoma" w:eastAsia="Tahoma" w:hAnsi="Tahoma"/>
                                <w:b w:val="0"/>
                                <w:i w:val="0"/>
                                <w:smallCaps w:val="0"/>
                                <w:strike w:val="0"/>
                                <w:color w:val="000000"/>
                                <w:sz w:val="16"/>
                                <w:vertAlign w:val="baseline"/>
                              </w:rPr>
                              <w:t xml:space="preserve">CAJA INGENIEROS GESTIÓN es una sociedad de gestión de instituciones de inversión colectiva, sujeta a la supervisión de la Comisión Nacional del Mercado de Valores, en cuyo registro se encuentra inscrita con el número 193.</w:t>
                            </w:r>
                          </w:p>
                          <w:p w:rsidR="00000000" w:rsidDel="00000000" w:rsidP="00000000" w:rsidRDefault="00000000" w:rsidRPr="00000000">
                            <w:pPr>
                              <w:spacing w:after="0" w:before="4.000000059604645" w:line="273.0000114440918"/>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El presente documento constituye un informe de carácter financiero elaborado por CAJA INGENIEROS GESTIÓN, con fines meramente informativos, a los efectos de las normas de conducta aplicables a los servicios de inversión en España.</w:t>
                            </w:r>
                          </w:p>
                          <w:p w:rsidR="00000000" w:rsidDel="00000000" w:rsidP="00000000" w:rsidRDefault="00000000" w:rsidRPr="00000000">
                            <w:pPr>
                              <w:spacing w:after="0" w:before="1.0000000149011612" w:line="275.9999942779541"/>
                              <w:ind w:left="0" w:right="81.00000381469727"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El informe se ha realizado con la finalidad de proporcionar a los inversores información general sobre valores e instrumentos financieros, a la fecha de emisión del mismo, y está sujeto a cambios sin previo aviso. La información se proporciona basándose en fuentes consideradas como fiables, si bien, CAJA INGENIEROS GESTION no garantiza ni se responsabiliza de la seguridad de las mismas.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Es posible que la información pueda referirse a productos, operaciones o servicios de inversión respecto de los cuales exista información adicional en documentación separada, incluyendo el documento de información fundamental para el inversor y el folleto completo. Se recomienda leer dichos documentos para poder tomar una decisión fundada sobre la conveniencia de invertir en dichos productos. Puede solicitar dicha documentación a su gerente personal, en cualquier oficina de Caja de Ingenieros, en www.caja-ingenieros.es o en www.cnmv.es.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El contenido de los informes en ningún caso constituye una oferta o recomendación de compra o venta de ningún producto o instrumento financiero. El inversor debe ser consciente de que los valores e instrumentos financieros a que se refieren pueden no ser adecuados a sus objetivos concretos de inversión, por lo que el inversor debe adoptar sus propias decisiones de inversión. A tal efecto, CAJA INGENIEROS GESTION, S.A.U. en su condición de emisor del informe, así como de CAIXA DE CRÈDIT DELS ENGINYERS-CAJA DE CRÉDITO DE LOS INGENIEROS, S. COOP. DE CREDITO, en su condición de comercializador, no se hacen responsables del mal uso que se haga de esta información ni de los perjuicios que pueda sufrir el inversor que formalice operaciones tomando como referencia las valoraciones y opiniones recogidas en los informes.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En ningún caso la información contenida en el presente documento se basará en consideraciones de las circunstancias personales de los destinatarios de dicha información y asimismo tampoco consistirá en recomendación personalizada para realizar la compra, venta, suscripción, canje, reembolso o el mantenimiento o aseguramiento de un instrumento financiero específico, como tampoco ejercitar o no, cualquier derecho conferido por un instrumento financiero determinado para compra, venta, suscripción, canje o reembolso del mismo, sino que se trata de una información orientativa general.</w:t>
                            </w:r>
                          </w:p>
                          <w:p w:rsidR="00000000" w:rsidDel="00000000" w:rsidP="00000000" w:rsidRDefault="00000000" w:rsidRPr="00000000">
                            <w:pPr>
                              <w:spacing w:after="0" w:before="0" w:line="275.9999942779541"/>
                              <w:ind w:left="0" w:right="81.00000381469727"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La información contenida en el presente informe hace o puede hacer referencia a resultados futuros de instrumentos financieros, índices financieros, medidas financieras o servicios de inversión basados en previsiones o expectativas, por lo que no puede considerarse como un indicador fiable de posibles resultados futuros ni como garantía de alcanzar tales resultados. El inversor debe, asimismo, tener en cuenta que la evolución pasada de los valores o instrumentos o los resultados históricos de las inversiones, no garantizan la evolución o resultados futuros.</w:t>
                            </w:r>
                          </w:p>
                          <w:p w:rsidR="00000000" w:rsidDel="00000000" w:rsidP="00000000" w:rsidRDefault="00000000" w:rsidRPr="00000000">
                            <w:pPr>
                              <w:spacing w:after="0" w:before="0" w:line="273.0000114440918"/>
                              <w:ind w:left="0" w:right="6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r>
                            <w:r w:rsidDel="00000000" w:rsidR="00000000" w:rsidRPr="00000000">
                              <w:rPr>
                                <w:rFonts w:ascii="Tahoma" w:cs="Tahoma" w:eastAsia="Tahoma" w:hAnsi="Tahoma"/>
                                <w:b w:val="0"/>
                                <w:i w:val="0"/>
                                <w:smallCaps w:val="0"/>
                                <w:strike w:val="0"/>
                                <w:color w:val="000000"/>
                                <w:sz w:val="16"/>
                                <w:vertAlign w:val="baseline"/>
                              </w:rPr>
                              <w:t xml:space="preserve">Queda prohibida la reproducción, duplicación, redistribución y/o comercialización, total o parcial, de los contenidos de este documento, ni aun citando las fuentes, salvo con consentimiento previo por escrito de CAJA INGENIEROS GESTION, SGIIC, SAU. All rights reserved.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215900</wp:posOffset>
                </wp:positionH>
                <wp:positionV relativeFrom="paragraph">
                  <wp:posOffset>1066800</wp:posOffset>
                </wp:positionV>
                <wp:extent cx="5930900" cy="4815205"/>
                <wp:effectExtent b="0" l="0" r="0" t="0"/>
                <wp:wrapNone/>
                <wp:docPr id="26"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5930900" cy="4815205"/>
                        </a:xfrm>
                        <a:prstGeom prst="rect"/>
                        <a:ln/>
                      </pic:spPr>
                    </pic:pic>
                  </a:graphicData>
                </a:graphic>
              </wp:anchor>
            </w:drawing>
          </mc:Fallback>
        </mc:AlternateConten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g">
            <w:drawing>
              <wp:inline distB="0" distT="0" distL="114300" distR="114300">
                <wp:extent cx="6273800" cy="5613400"/>
                <wp:effectExtent b="0" l="0" r="0" t="0"/>
                <wp:docPr id="17" name=""/>
                <a:graphic>
                  <a:graphicData uri="http://schemas.microsoft.com/office/word/2010/wordprocessingGroup">
                    <wpg:wgp>
                      <wpg:cNvGrpSpPr/>
                      <wpg:grpSpPr>
                        <a:xfrm>
                          <a:off x="2209100" y="973300"/>
                          <a:ext cx="6273800" cy="5613400"/>
                          <a:chOff x="2209100" y="973300"/>
                          <a:chExt cx="6273800" cy="5613400"/>
                        </a:xfrm>
                      </wpg:grpSpPr>
                      <wpg:grpSp>
                        <wpg:cNvGrpSpPr/>
                        <wpg:grpSpPr>
                          <a:xfrm>
                            <a:off x="2209100" y="973300"/>
                            <a:ext cx="6273800" cy="5613400"/>
                            <a:chOff x="0" y="0"/>
                            <a:chExt cx="6273800" cy="5613400"/>
                          </a:xfrm>
                        </wpg:grpSpPr>
                        <wps:wsp>
                          <wps:cNvSpPr/>
                          <wps:cNvPr id="4" name="Shape 4"/>
                          <wps:spPr>
                            <a:xfrm>
                              <a:off x="0" y="0"/>
                              <a:ext cx="6273800" cy="561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273800" cy="5613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273800" cy="5613400"/>
                <wp:effectExtent b="0" l="0" r="0" t="0"/>
                <wp:docPr id="17"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6273800" cy="5613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spacing w:before="100" w:lineRule="auto"/>
        <w:ind w:left="0" w:right="1617" w:firstLine="0"/>
        <w:jc w:val="right"/>
        <w:rPr>
          <w:sz w:val="14"/>
          <w:szCs w:val="14"/>
        </w:rPr>
      </w:pPr>
      <w:r w:rsidDel="00000000" w:rsidR="00000000" w:rsidRPr="00000000">
        <w:rPr>
          <w:sz w:val="14"/>
          <w:szCs w:val="14"/>
          <w:rtl w:val="0"/>
        </w:rPr>
        <w:t xml:space="preserve">4</w:t>
      </w:r>
    </w:p>
    <w:sectPr>
      <w:type w:val="nextPage"/>
      <w:pgSz w:h="16840" w:w="11910" w:orient="portrait"/>
      <w:pgMar w:bottom="0" w:top="0" w:left="1240" w:right="5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rebuchet MS"/>
  <w:font w:name="Calibri"/>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78" w:hanging="115.99999999999999"/>
      </w:pPr>
      <w:rPr>
        <w:rFonts w:ascii="Tahoma" w:cs="Tahoma" w:eastAsia="Tahoma" w:hAnsi="Tahoma"/>
        <w:sz w:val="18"/>
        <w:szCs w:val="18"/>
      </w:rPr>
    </w:lvl>
    <w:lvl w:ilvl="1">
      <w:start w:val="0"/>
      <w:numFmt w:val="bullet"/>
      <w:lvlText w:val="•"/>
      <w:lvlJc w:val="left"/>
      <w:pPr>
        <w:ind w:left="1172" w:hanging="116"/>
      </w:pPr>
      <w:rPr/>
    </w:lvl>
    <w:lvl w:ilvl="2">
      <w:start w:val="0"/>
      <w:numFmt w:val="bullet"/>
      <w:lvlText w:val="•"/>
      <w:lvlJc w:val="left"/>
      <w:pPr>
        <w:ind w:left="2165" w:hanging="116"/>
      </w:pPr>
      <w:rPr/>
    </w:lvl>
    <w:lvl w:ilvl="3">
      <w:start w:val="0"/>
      <w:numFmt w:val="bullet"/>
      <w:lvlText w:val="•"/>
      <w:lvlJc w:val="left"/>
      <w:pPr>
        <w:ind w:left="3157" w:hanging="116.00000000000045"/>
      </w:pPr>
      <w:rPr/>
    </w:lvl>
    <w:lvl w:ilvl="4">
      <w:start w:val="0"/>
      <w:numFmt w:val="bullet"/>
      <w:lvlText w:val="•"/>
      <w:lvlJc w:val="left"/>
      <w:pPr>
        <w:ind w:left="4150" w:hanging="116"/>
      </w:pPr>
      <w:rPr/>
    </w:lvl>
    <w:lvl w:ilvl="5">
      <w:start w:val="0"/>
      <w:numFmt w:val="bullet"/>
      <w:lvlText w:val="•"/>
      <w:lvlJc w:val="left"/>
      <w:pPr>
        <w:ind w:left="5143" w:hanging="116.00000000000091"/>
      </w:pPr>
      <w:rPr/>
    </w:lvl>
    <w:lvl w:ilvl="6">
      <w:start w:val="0"/>
      <w:numFmt w:val="bullet"/>
      <w:lvlText w:val="•"/>
      <w:lvlJc w:val="left"/>
      <w:pPr>
        <w:ind w:left="6135" w:hanging="116"/>
      </w:pPr>
      <w:rPr/>
    </w:lvl>
    <w:lvl w:ilvl="7">
      <w:start w:val="0"/>
      <w:numFmt w:val="bullet"/>
      <w:lvlText w:val="•"/>
      <w:lvlJc w:val="left"/>
      <w:pPr>
        <w:ind w:left="7128" w:hanging="116.00000000000091"/>
      </w:pPr>
      <w:rPr/>
    </w:lvl>
    <w:lvl w:ilvl="8">
      <w:start w:val="0"/>
      <w:numFmt w:val="bullet"/>
      <w:lvlText w:val="•"/>
      <w:lvlJc w:val="left"/>
      <w:pPr>
        <w:ind w:left="8121" w:hanging="116"/>
      </w:pPr>
      <w:rPr/>
    </w:lvl>
  </w:abstractNum>
  <w:abstractNum w:abstractNumId="2">
    <w:lvl w:ilvl="0">
      <w:start w:val="0"/>
      <w:numFmt w:val="bullet"/>
      <w:lvlText w:val="●"/>
      <w:lvlJc w:val="left"/>
      <w:pPr>
        <w:ind w:left="178" w:hanging="360"/>
      </w:pPr>
      <w:rPr>
        <w:rFonts w:ascii="Noto Sans Symbols" w:cs="Noto Sans Symbols" w:eastAsia="Noto Sans Symbols" w:hAnsi="Noto Sans Symbols"/>
        <w:sz w:val="18"/>
        <w:szCs w:val="18"/>
      </w:rPr>
    </w:lvl>
    <w:lvl w:ilvl="1">
      <w:start w:val="0"/>
      <w:numFmt w:val="bullet"/>
      <w:lvlText w:val="•"/>
      <w:lvlJc w:val="left"/>
      <w:pPr>
        <w:ind w:left="1172" w:hanging="360"/>
      </w:pPr>
      <w:rPr/>
    </w:lvl>
    <w:lvl w:ilvl="2">
      <w:start w:val="0"/>
      <w:numFmt w:val="bullet"/>
      <w:lvlText w:val="•"/>
      <w:lvlJc w:val="left"/>
      <w:pPr>
        <w:ind w:left="2165" w:hanging="360"/>
      </w:pPr>
      <w:rPr/>
    </w:lvl>
    <w:lvl w:ilvl="3">
      <w:start w:val="0"/>
      <w:numFmt w:val="bullet"/>
      <w:lvlText w:val="•"/>
      <w:lvlJc w:val="left"/>
      <w:pPr>
        <w:ind w:left="3157" w:hanging="360"/>
      </w:pPr>
      <w:rPr/>
    </w:lvl>
    <w:lvl w:ilvl="4">
      <w:start w:val="0"/>
      <w:numFmt w:val="bullet"/>
      <w:lvlText w:val="•"/>
      <w:lvlJc w:val="left"/>
      <w:pPr>
        <w:ind w:left="4150" w:hanging="360"/>
      </w:pPr>
      <w:rPr/>
    </w:lvl>
    <w:lvl w:ilvl="5">
      <w:start w:val="0"/>
      <w:numFmt w:val="bullet"/>
      <w:lvlText w:val="•"/>
      <w:lvlJc w:val="left"/>
      <w:pPr>
        <w:ind w:left="5143" w:hanging="360"/>
      </w:pPr>
      <w:rPr/>
    </w:lvl>
    <w:lvl w:ilvl="6">
      <w:start w:val="0"/>
      <w:numFmt w:val="bullet"/>
      <w:lvlText w:val="•"/>
      <w:lvlJc w:val="left"/>
      <w:pPr>
        <w:ind w:left="6135" w:hanging="360"/>
      </w:pPr>
      <w:rPr/>
    </w:lvl>
    <w:lvl w:ilvl="7">
      <w:start w:val="0"/>
      <w:numFmt w:val="bullet"/>
      <w:lvlText w:val="•"/>
      <w:lvlJc w:val="left"/>
      <w:pPr>
        <w:ind w:left="7128" w:hanging="360"/>
      </w:pPr>
      <w:rPr/>
    </w:lvl>
    <w:lvl w:ilvl="8">
      <w:start w:val="0"/>
      <w:numFmt w:val="bullet"/>
      <w:lvlText w:val="•"/>
      <w:lvlJc w:val="left"/>
      <w:pPr>
        <w:ind w:left="8121" w:hanging="360"/>
      </w:pPr>
      <w:rPr/>
    </w:lvl>
  </w:abstractNum>
  <w:abstractNum w:abstractNumId="3">
    <w:lvl w:ilvl="0">
      <w:start w:val="1"/>
      <w:numFmt w:val="decimal"/>
      <w:lvlText w:val="%1)"/>
      <w:lvlJc w:val="left"/>
      <w:pPr>
        <w:ind w:left="1213" w:hanging="675"/>
      </w:pPr>
      <w:rPr>
        <w:rFonts w:ascii="Tahoma" w:cs="Tahoma" w:eastAsia="Tahoma" w:hAnsi="Tahoma"/>
        <w:sz w:val="18"/>
        <w:szCs w:val="18"/>
      </w:rPr>
    </w:lvl>
    <w:lvl w:ilvl="1">
      <w:start w:val="0"/>
      <w:numFmt w:val="bullet"/>
      <w:lvlText w:val="•"/>
      <w:lvlJc w:val="left"/>
      <w:pPr>
        <w:ind w:left="2108" w:hanging="675"/>
      </w:pPr>
      <w:rPr/>
    </w:lvl>
    <w:lvl w:ilvl="2">
      <w:start w:val="0"/>
      <w:numFmt w:val="bullet"/>
      <w:lvlText w:val="•"/>
      <w:lvlJc w:val="left"/>
      <w:pPr>
        <w:ind w:left="2997" w:hanging="675"/>
      </w:pPr>
      <w:rPr/>
    </w:lvl>
    <w:lvl w:ilvl="3">
      <w:start w:val="0"/>
      <w:numFmt w:val="bullet"/>
      <w:lvlText w:val="•"/>
      <w:lvlJc w:val="left"/>
      <w:pPr>
        <w:ind w:left="3885" w:hanging="675"/>
      </w:pPr>
      <w:rPr/>
    </w:lvl>
    <w:lvl w:ilvl="4">
      <w:start w:val="0"/>
      <w:numFmt w:val="bullet"/>
      <w:lvlText w:val="•"/>
      <w:lvlJc w:val="left"/>
      <w:pPr>
        <w:ind w:left="4774" w:hanging="675"/>
      </w:pPr>
      <w:rPr/>
    </w:lvl>
    <w:lvl w:ilvl="5">
      <w:start w:val="0"/>
      <w:numFmt w:val="bullet"/>
      <w:lvlText w:val="•"/>
      <w:lvlJc w:val="left"/>
      <w:pPr>
        <w:ind w:left="5663" w:hanging="675"/>
      </w:pPr>
      <w:rPr/>
    </w:lvl>
    <w:lvl w:ilvl="6">
      <w:start w:val="0"/>
      <w:numFmt w:val="bullet"/>
      <w:lvlText w:val="•"/>
      <w:lvlJc w:val="left"/>
      <w:pPr>
        <w:ind w:left="6551" w:hanging="675"/>
      </w:pPr>
      <w:rPr/>
    </w:lvl>
    <w:lvl w:ilvl="7">
      <w:start w:val="0"/>
      <w:numFmt w:val="bullet"/>
      <w:lvlText w:val="•"/>
      <w:lvlJc w:val="left"/>
      <w:pPr>
        <w:ind w:left="7440" w:hanging="675"/>
      </w:pPr>
      <w:rPr/>
    </w:lvl>
    <w:lvl w:ilvl="8">
      <w:start w:val="0"/>
      <w:numFmt w:val="bullet"/>
      <w:lvlText w:val="•"/>
      <w:lvlJc w:val="left"/>
      <w:pPr>
        <w:ind w:left="8329" w:hanging="67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8"/>
    </w:pPr>
    <w:rPr>
      <w:rFonts w:ascii="Arial" w:cs="Arial" w:eastAsia="Arial" w:hAnsi="Arial"/>
      <w:b w:val="1"/>
      <w:i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both"/>
    </w:pPr>
    <w:rPr>
      <w:rFonts w:ascii="Arial" w:cs="Arial" w:eastAsia="Arial" w:hAnsi="Arial"/>
      <w:b w:val="1"/>
      <w:i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ahoma" w:cs="Tahoma" w:eastAsia="Tahoma" w:hAnsi="Tahoma"/>
      <w:lang w:bidi="ar-SA" w:eastAsia="en-US" w:val="es-ES"/>
    </w:rPr>
  </w:style>
  <w:style w:type="paragraph" w:styleId="BodyText">
    <w:name w:val="Body Text"/>
    <w:basedOn w:val="Normal"/>
    <w:uiPriority w:val="1"/>
    <w:qFormat w:val="1"/>
    <w:pPr/>
    <w:rPr>
      <w:rFonts w:ascii="Tahoma" w:cs="Tahoma" w:eastAsia="Tahoma" w:hAnsi="Tahoma"/>
      <w:sz w:val="18"/>
      <w:szCs w:val="18"/>
      <w:lang w:bidi="ar-SA" w:eastAsia="en-US" w:val="es-ES"/>
    </w:rPr>
  </w:style>
  <w:style w:type="paragraph" w:styleId="Heading1">
    <w:name w:val="Heading 1"/>
    <w:basedOn w:val="Normal"/>
    <w:uiPriority w:val="1"/>
    <w:qFormat w:val="1"/>
    <w:pPr>
      <w:ind w:left="178"/>
      <w:outlineLvl w:val="1"/>
    </w:pPr>
    <w:rPr>
      <w:rFonts w:ascii="Arial" w:cs="Arial" w:eastAsia="Arial" w:hAnsi="Arial"/>
      <w:b w:val="1"/>
      <w:bCs w:val="1"/>
      <w:i w:val="1"/>
      <w:iCs w:val="1"/>
      <w:sz w:val="24"/>
      <w:szCs w:val="24"/>
      <w:lang w:bidi="ar-SA" w:eastAsia="en-US" w:val="es-ES"/>
    </w:rPr>
  </w:style>
  <w:style w:type="paragraph" w:styleId="Title">
    <w:name w:val="Title"/>
    <w:basedOn w:val="Normal"/>
    <w:uiPriority w:val="1"/>
    <w:qFormat w:val="1"/>
    <w:pPr>
      <w:jc w:val="both"/>
    </w:pPr>
    <w:rPr>
      <w:rFonts w:ascii="Arial" w:cs="Arial" w:eastAsia="Arial" w:hAnsi="Arial"/>
      <w:b w:val="1"/>
      <w:bCs w:val="1"/>
      <w:i w:val="1"/>
      <w:iCs w:val="1"/>
      <w:sz w:val="28"/>
      <w:szCs w:val="28"/>
      <w:lang w:bidi="ar-SA" w:eastAsia="en-US" w:val="es-ES"/>
    </w:rPr>
  </w:style>
  <w:style w:type="paragraph" w:styleId="ListParagraph">
    <w:name w:val="List Paragraph"/>
    <w:basedOn w:val="Normal"/>
    <w:uiPriority w:val="1"/>
    <w:qFormat w:val="1"/>
    <w:pPr>
      <w:ind w:left="178" w:hanging="117"/>
    </w:pPr>
    <w:rPr>
      <w:rFonts w:ascii="Tahoma" w:cs="Tahoma" w:eastAsia="Tahoma" w:hAnsi="Tahoma"/>
      <w:lang w:bidi="ar-SA" w:eastAsia="en-US" w:val="es-ES"/>
    </w:rPr>
  </w:style>
  <w:style w:type="paragraph" w:styleId="TableParagraph">
    <w:name w:val="Table Paragraph"/>
    <w:basedOn w:val="Normal"/>
    <w:uiPriority w:val="1"/>
    <w:qFormat w:val="1"/>
    <w:pPr>
      <w:spacing w:before="8"/>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www.inverco.es/" TargetMode="External"/><Relationship Id="rId21" Type="http://schemas.openxmlformats.org/officeDocument/2006/relationships/image" Target="media/image19.png"/><Relationship Id="rId24" Type="http://schemas.openxmlformats.org/officeDocument/2006/relationships/image" Target="media/image9.png"/><Relationship Id="rId23" Type="http://schemas.openxmlformats.org/officeDocument/2006/relationships/hyperlink" Target="http://www.inverco.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image" Target="media/image11.png"/><Relationship Id="rId28" Type="http://schemas.openxmlformats.org/officeDocument/2006/relationships/image" Target="media/image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20.png"/><Relationship Id="rId10"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pZgEdm3CSG16ubJKcOuydOUqVA==">CgMxLjA4AHIhMWNCWUd6YTZwcnlrTnVBYWpUSHA1OUU0NXFUZ2MwVWZy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2024-11-22T19:00:31Z</dcterms:created>
  <dc:creator>Simon Ziegler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2017-03-27T00:00:00Z</vt:filetime>
  </property>
  <property fmtid="{D5CDD505-2E9C-101B-9397-08002B2CF9AE}" pid="3" name="Creator">
    <vt:lpwstr>Microsoft® Word 2010</vt:lpwstr>
  </property>
  <property fmtid="{D5CDD505-2E9C-101B-9397-08002B2CF9AE}" pid="4" name="LastSaved">
    <vt:filetime>2024-11-22T00:00:00Z</vt:filetime>
  </property>
</Properties>
</file>