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FORMAÇÃO SOFTEX BACKEND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 ARAUJO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Em uma inscrição, o usuário informou os seguintes dados: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Nome: José Almeida da Silva</w:t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CPF: 12345678900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RG: 9517530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Altura: 1,78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Endereço: Rua A, 380 – Centro – Recife/PE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 algoritmo, descreva como será: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A proposta das variáveis;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Elaborada a declaração das variáveis;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Utilizado o comando de atribuição.</w:t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u w:val="single"/>
          <w:rtl w:val="0"/>
        </w:rPr>
        <w:t xml:space="preserve">RESOLUÇÃO: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Para elaboração de um algoritmo de inscrição iniciaremos por definir as variáveis e seus respectivos tipos. Variáveis: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RG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altura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endereço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 Para as variáveis nome e endereço serão atribuídos valores do tipo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caracter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; para as variáveis CPF e RG serão atribuídos valores do tipo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; e para altura será atribuído valor do tipo </w:t>
      </w: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Na variável nome será atribuído o valor string José de Almeida da Silva. Na variável CPF será atribuído o valor inteiro 123456768900. Na variável RG será atribuído o valor inteiro 9517530. Na variável altura será atribuído o valor real 1,79. Na variável endereço será atribuído o valor string Rua A, 380 - Centro - Recife/PE.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