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3A59"/>
          <w:sz w:val="56"/>
          <w:szCs w:val="56"/>
        </w:rPr>
        <w:t xml:space="preserve">AIP-X</w:t>
      </w:r>
    </w:p>
    <w:p>
      <w:pPr>
        <w:spacing w:after="100"/>
        <w:jc w:val="center"/>
      </w:pPr>
      <w:r>
        <w:rPr>
          <w:rFonts w:ascii="Arial" w:cs="Arial" w:eastAsia="Arial" w:hAnsi="Arial"/>
          <w:color w:val="555555"/>
          <w:sz w:val="28"/>
          <w:szCs w:val="28"/>
        </w:rPr>
        <w:t xml:space="preserve">Accountable Intelligence Platform</w:t>
      </w:r>
    </w:p>
    <w:p>
      <w:pPr>
        <w:spacing w:after="160"/>
        <w:jc w:val="center"/>
      </w:pPr>
      <w:r>
        <w:rPr>
          <w:rFonts w:ascii="Arial" w:cs="Arial" w:eastAsia="Arial" w:hAnsi="Arial"/>
          <w:b/>
          <w:bCs/>
          <w:color w:val="2E3A59"/>
          <w:sz w:val="36"/>
          <w:szCs w:val="36"/>
        </w:rPr>
        <w:t xml:space="preserve">AIP-X Certification Protocol</w:t>
      </w:r>
    </w:p>
    <w:p>
      <w:pPr>
        <w:spacing w:after="80"/>
        <w:jc w:val="center"/>
      </w:pPr>
      <w:r>
        <w:rPr>
          <w:rFonts w:ascii="Arial" w:cs="Arial" w:eastAsia="Arial" w:hAnsi="Arial"/>
          <w:color w:val="555555"/>
          <w:sz w:val="22"/>
          <w:szCs w:val="22"/>
        </w:rPr>
        <w:t xml:space="preserve">A Technical Proposal for On-Chain Certification of AI Decisions</w:t>
      </w:r>
    </w:p>
    <w:p>
      <w:pPr>
        <w:spacing w:after="80"/>
        <w:jc w:val="center"/>
      </w:pPr>
      <w:r>
        <w:rPr>
          <w:rFonts w:ascii="Arial" w:cs="Arial" w:eastAsia="Arial" w:hAnsi="Arial"/>
          <w:sz w:val="20"/>
          <w:szCs w:val="20"/>
        </w:rPr>
        <w:t xml:space="preserve">Version 0.1 — Draft for Discussion</w:t>
      </w:r>
    </w:p>
    <w:p>
      <w:pPr>
        <w:spacing w:after="200"/>
        <w:jc w:val="center"/>
      </w:pPr>
      <w:r>
        <w:rPr>
          <w:rFonts w:ascii="Arial" w:cs="Arial" w:eastAsia="Arial" w:hAnsi="Arial"/>
          <w:sz w:val="20"/>
          <w:szCs w:val="20"/>
        </w:rPr>
        <w:t xml:space="preserve">March 2026 — LedgerStone / AIP-X Project</w:t>
      </w:r>
    </w:p>
    <w:p>
      <w:pPr>
        <w:spacing w:after="400"/>
        <w:jc w:val="center"/>
      </w:pPr>
      <w:r>
        <w:rPr>
          <w:rFonts w:ascii="Arial" w:cs="Arial" w:eastAsia="Arial" w:hAnsi="Arial"/>
          <w:color w:val="888888"/>
          <w:sz w:val="18"/>
          <w:szCs w:val="18"/>
        </w:rPr>
        <w:t xml:space="preserve">This document is an exploratory draft. It does not constitute a certified standard or a declaration of regulatory compliance.</w:t>
      </w:r>
    </w:p>
    <w:p>
      <w:pPr>
        <w:pStyle w:val="Heading1"/>
      </w:pPr>
      <w:r>
        <w:rPr>
          <w:rFonts w:ascii="Arial" w:cs="Arial" w:eastAsia="Arial" w:hAnsi="Arial"/>
          <w:b/>
          <w:bCs/>
          <w:color w:val="2E3A59"/>
          <w:sz w:val="32"/>
          <w:szCs w:val="32"/>
        </w:rPr>
        <w:t xml:space="preserve">Executive Summary</w:t>
      </w:r>
    </w:p>
    <w:p>
      <w:pPr>
        <w:spacing w:after="120"/>
      </w:pPr>
      <w:r>
        <w:rPr>
          <w:rFonts w:ascii="Arial" w:cs="Arial" w:eastAsia="Arial" w:hAnsi="Arial"/>
          <w:sz w:val="20"/>
          <w:szCs w:val="20"/>
        </w:rPr>
        <w:t xml:space="preserve">The central problem of AI governance is not technical: it is political and legal. Systems like Palantir, Clearview AI and other data analysis tools currently operate without a technical obligation for third-party-verifiable traceability. Searches are executed, data analysed, decisions made — yet the logs remain under the exclusive control of the operator.</w:t>
      </w:r>
    </w:p>
    <w:p>
      <w:r>
        <w:t xml:space="preserve"/>
      </w:r>
    </w:p>
    <w:p>
      <w:pPr>
        <w:spacing w:after="120"/>
      </w:pPr>
      <w:r>
        <w:rPr>
          <w:rFonts w:ascii="Arial" w:cs="Arial" w:eastAsia="Arial" w:hAnsi="Arial"/>
          <w:sz w:val="20"/>
          <w:szCs w:val="20"/>
        </w:rPr>
        <w:t xml:space="preserve">The EU AI Act, which entered into force in August 2024 with progressive obligations for high-risk systems starting in August 2026, imposes traceability and documentation requirements. However, it does not define a binding technical standard for HOW this traceability must be implemented, maintained and independently verified.</w:t>
      </w:r>
    </w:p>
    <w:p>
      <w:r>
        <w:t xml:space="preserve"/>
      </w:r>
    </w:p>
    <w:p>
      <w:pPr>
        <w:spacing w:after="120"/>
      </w:pPr>
      <w:r>
        <w:rPr>
          <w:rFonts w:ascii="Arial" w:cs="Arial" w:eastAsia="Arial" w:hAnsi="Arial"/>
          <w:sz w:val="20"/>
          <w:szCs w:val="20"/>
        </w:rPr>
        <w:t xml:space="preserve">The AIP-X Certification Protocol (ACP) is a technical proposal to fill this gap: an open standard that defines how every AI operation — including those with a null result — can be recorded immutably, made verifiable by third parties, and kept cryptographically private.</w:t>
      </w:r>
    </w:p>
    <w:p>
      <w:r>
        <w:t xml:space="preserve"/>
      </w:r>
    </w:p>
    <w:p>
      <w:pPr>
        <w:spacing w:after="120"/>
      </w:pPr>
      <w:r>
        <w:rPr>
          <w:rFonts w:ascii="Arial" w:cs="Arial" w:eastAsia="Arial" w:hAnsi="Arial"/>
          <w:sz w:val="20"/>
          <w:szCs w:val="20"/>
        </w:rPr>
        <w:t xml:space="preserve">This document is an exploratory draft (v0.1). Its purpose is to open a technical and institutional discussion with potential partners, regulatory authorities and investors. ACP is not yet a recognised standard or a certified product.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High-risk AI systems currently have no technical obligation for immutable, third-party-verifiable traceability. Logs exist but are controlled by the operator itself.</w:t>
            </w:r>
          </w:p>
        </w:tc>
      </w:tr>
      <w:t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Proposal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an open technical standard that makes it cryptographically impossible to alter the history of AI operations, with selective audits by authorised third parties.</w:t>
            </w:r>
          </w:p>
        </w:tc>
      </w:tr>
      <w:t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Current 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Functional, open-source MVP. Standard proposal under development. No certification body involved at this stage. Seeking institutional partners.</w:t>
            </w:r>
          </w:p>
        </w:tc>
      </w:tr>
      <w:t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Legal note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ACP does not constitute a guarantee of compliance with the EU AI Act, GDPR or other regulations. Compliance assessment is the responsibility of qualified entities.</w:t>
            </w:r>
          </w:p>
        </w:tc>
      </w:tr>
    </w:tbl>
    <w:p>
      <w:r>
        <w:t xml:space="preserve"/>
      </w:r>
    </w:p>
    <w:p>
      <w:pPr>
        <w:pStyle w:val="Heading1"/>
      </w:pPr>
      <w:r>
        <w:rPr>
          <w:rFonts w:ascii="Arial" w:cs="Arial" w:eastAsia="Arial" w:hAnsi="Arial"/>
          <w:b/>
          <w:bCs/>
          <w:color w:val="2E3A59"/>
          <w:sz w:val="32"/>
          <w:szCs w:val="32"/>
        </w:rPr>
        <w:t xml:space="preserve">1. Why Now: The Market Moment</w:t>
      </w:r>
    </w:p>
    <w:p>
      <w:pPr>
        <w:pStyle w:val="Heading2"/>
      </w:pPr>
      <w:r>
        <w:rPr>
          <w:rFonts w:ascii="Arial" w:cs="Arial" w:eastAsia="Arial" w:hAnsi="Arial"/>
          <w:b/>
          <w:bCs/>
          <w:color w:val="2E3A59"/>
          <w:sz w:val="26"/>
          <w:szCs w:val="26"/>
        </w:rPr>
        <w:t xml:space="preserve">1.1 The AI governance market is booming</w:t>
      </w:r>
    </w:p>
    <w:p>
      <w:pPr>
        <w:spacing w:after="120"/>
      </w:pPr>
      <w:r>
        <w:rPr>
          <w:rFonts w:ascii="Arial" w:cs="Arial" w:eastAsia="Arial" w:hAnsi="Arial"/>
          <w:sz w:val="20"/>
          <w:szCs w:val="20"/>
        </w:rPr>
        <w:t xml:space="preserve">The global AI governance tools market was valued at approximately USD 228 million in 2024. Growth estimates vary but converge on a CAGR of between 35% and 49% through 2030–2034, with projections placing it between USD 1.4 billion and USD 6.6 billion by that date. Gartner estimates specific spending on AI governance platforms at USD 492 million in 2026, surpassing USD 1 billion by 2030.</w:t>
      </w:r>
    </w:p>
    <w:p>
      <w:r>
        <w:t xml:space="preserve"/>
      </w:r>
    </w:p>
    <w:p>
      <w:pPr>
        <w:spacing w:after="120"/>
      </w:pPr>
      <w:r>
        <w:rPr>
          <w:rFonts w:ascii="Arial" w:cs="Arial" w:eastAsia="Arial" w:hAnsi="Arial"/>
          <w:sz w:val="20"/>
          <w:szCs w:val="20"/>
        </w:rPr>
        <w:t xml:space="preserve">This growth is not speculative: it is driven by concrete regulatory obligations with defined deadlines.</w:t>
      </w:r>
    </w:p>
    <w:p>
      <w:r>
        <w:t xml:space="preserve"/>
      </w:r>
    </w:p>
    <w:p>
      <w:pPr>
        <w:pStyle w:val="Heading2"/>
      </w:pPr>
      <w:r>
        <w:rPr>
          <w:rFonts w:ascii="Arial" w:cs="Arial" w:eastAsia="Arial" w:hAnsi="Arial"/>
          <w:b/>
          <w:bCs/>
          <w:color w:val="2E3A59"/>
          <w:sz w:val="26"/>
          <w:szCs w:val="26"/>
        </w:rPr>
        <w:t xml:space="preserve">1.2 EU AI Act deadlines create real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Milestone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August 2024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EU AI Act enters into force.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February 2025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Prohibitions on banned AI practices (manipulation, social scoring) become enforceable.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August 2025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Institutional governance operational: AI Office, AI Board, national authorities. Obligations for GPAI models.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August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enforcement of the framework for most high-risk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August 2027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Extended deadline for high-risk systems embedded in regulated products (medical devices, vehicles).</w:t>
            </w:r>
          </w:p>
        </w:tc>
      </w:tr>
    </w:tbl>
    <w:p>
      <w:r>
        <w:t xml:space="preserve"/>
      </w:r>
    </w:p>
    <w:p>
      <w:pPr>
        <w:spacing w:after="120"/>
      </w:pPr>
      <w:r>
        <w:rPr>
          <w:rFonts w:ascii="Arial" w:cs="Arial" w:eastAsia="Arial" w:hAnsi="Arial"/>
          <w:sz w:val="20"/>
          <w:szCs w:val="20"/>
        </w:rPr>
        <w:t xml:space="preserve">In September 2024, more than 100 companies voluntarily joined the European Commission's AI Pact, committing to prepare for compliance ahead of the mandatory deadlines. The signal is clear: the market is moving before the obligations come into effect.</w:t>
      </w:r>
    </w:p>
    <w:p>
      <w:r>
        <w:t xml:space="preserve"/>
      </w:r>
    </w:p>
    <w:p>
      <w:pPr>
        <w:pStyle w:val="Heading2"/>
      </w:pPr>
      <w:r>
        <w:rPr>
          <w:rFonts w:ascii="Arial" w:cs="Arial" w:eastAsia="Arial" w:hAnsi="Arial"/>
          <w:b/>
          <w:bCs/>
          <w:color w:val="2E3A59"/>
          <w:sz w:val="26"/>
          <w:szCs w:val="26"/>
        </w:rPr>
        <w:t xml:space="preserve">1.3 The gap no one has solved yet</w:t>
      </w:r>
    </w:p>
    <w:p>
      <w:pPr>
        <w:spacing w:after="120"/>
      </w:pPr>
      <w:r>
        <w:rPr>
          <w:rFonts w:ascii="Arial" w:cs="Arial" w:eastAsia="Arial" w:hAnsi="Arial"/>
          <w:sz w:val="20"/>
          <w:szCs w:val="20"/>
        </w:rPr>
        <w:t xml:space="preserve">Despite market growth, none of the existing tools address the specific problem ACP aims to solve: external verifiability of log integrity. Existing governance platforms (IBM watsonx.governance, OneTrust AI Governance, Microsoft Responsible AI Standard) focus on risk assessment, bias detection and internal documentation — but logs remain under operator control and cannot be verified by third parties in a cryptographically secure manner.</w:t>
      </w:r>
    </w:p>
    <w:p>
      <w:r>
        <w:t xml:space="preserve"/>
      </w:r>
    </w:p>
    <w:p>
      <w:pPr>
        <w:pStyle w:val="Heading1"/>
      </w:pPr>
      <w:r>
        <w:rPr>
          <w:rFonts w:ascii="Arial" w:cs="Arial" w:eastAsia="Arial" w:hAnsi="Arial"/>
          <w:b/>
          <w:bCs/>
          <w:color w:val="2E3A59"/>
          <w:sz w:val="32"/>
          <w:szCs w:val="32"/>
        </w:rPr>
        <w:t xml:space="preserve">2. The Problem: The Accountability Gap in AI</w:t>
      </w:r>
    </w:p>
    <w:p>
      <w:pPr>
        <w:pStyle w:val="Heading2"/>
      </w:pPr>
      <w:r>
        <w:rPr>
          <w:rFonts w:ascii="Arial" w:cs="Arial" w:eastAsia="Arial" w:hAnsi="Arial"/>
          <w:b/>
          <w:bCs/>
          <w:color w:val="2E3A59"/>
          <w:sz w:val="26"/>
          <w:szCs w:val="26"/>
        </w:rPr>
        <w:t xml:space="preserve">2.1 The current landscape</w:t>
      </w:r>
    </w:p>
    <w:p>
      <w:pPr>
        <w:spacing w:after="120"/>
      </w:pPr>
      <w:r>
        <w:rPr>
          <w:rFonts w:ascii="Arial" w:cs="Arial" w:eastAsia="Arial" w:hAnsi="Arial"/>
          <w:sz w:val="20"/>
          <w:szCs w:val="20"/>
        </w:rPr>
        <w:t xml:space="preserve">Today, a company using AI systems to analyse data on individuals can:</w:t>
      </w:r>
    </w:p>
    <w:p>
      <w:pPr>
        <w:pStyle w:val="ListParagraph"/>
        <w:numPr>
          <w:ilvl w:val="0"/>
          <w:numId w:val="2"/>
        </w:numPr>
        <w:spacing w:after="60"/>
      </w:pPr>
      <w:r>
        <w:rPr>
          <w:rFonts w:ascii="Arial" w:cs="Arial" w:eastAsia="Arial" w:hAnsi="Arial"/>
          <w:sz w:val="20"/>
          <w:szCs w:val="20"/>
        </w:rPr>
        <w:t xml:space="preserve">Perform a search on a citizen</w:t>
      </w:r>
    </w:p>
    <w:p>
      <w:pPr>
        <w:pStyle w:val="ListParagraph"/>
        <w:numPr>
          <w:ilvl w:val="0"/>
          <w:numId w:val="2"/>
        </w:numPr>
        <w:spacing w:after="60"/>
      </w:pPr>
      <w:r>
        <w:rPr>
          <w:rFonts w:ascii="Arial" w:cs="Arial" w:eastAsia="Arial" w:hAnsi="Arial"/>
          <w:sz w:val="20"/>
          <w:szCs w:val="20"/>
        </w:rPr>
        <w:t xml:space="preserve">Find nothing relevant</w:t>
      </w:r>
    </w:p>
    <w:p>
      <w:pPr>
        <w:pStyle w:val="ListParagraph"/>
        <w:numPr>
          <w:ilvl w:val="0"/>
          <w:numId w:val="2"/>
        </w:numPr>
        <w:spacing w:after="60"/>
      </w:pPr>
      <w:r>
        <w:rPr>
          <w:rFonts w:ascii="Arial" w:cs="Arial" w:eastAsia="Arial" w:hAnsi="Arial"/>
          <w:sz w:val="20"/>
          <w:szCs w:val="20"/>
        </w:rPr>
        <w:t xml:space="preserve">Have no technical obligation to record that the search took place</w:t>
      </w:r>
    </w:p>
    <w:p>
      <w:pPr>
        <w:pStyle w:val="ListParagraph"/>
        <w:numPr>
          <w:ilvl w:val="0"/>
          <w:numId w:val="2"/>
        </w:numPr>
        <w:spacing w:after="60"/>
      </w:pPr>
      <w:r>
        <w:rPr>
          <w:rFonts w:ascii="Arial" w:cs="Arial" w:eastAsia="Arial" w:hAnsi="Arial"/>
          <w:sz w:val="20"/>
          <w:szCs w:val="20"/>
        </w:rPr>
        <w:t xml:space="preserve">Manage its internal logs without externally verifiable oversight</w:t>
      </w:r>
    </w:p>
    <w:p>
      <w:r>
        <w:t xml:space="preserve"/>
      </w:r>
    </w:p>
    <w:p>
      <w:pPr>
        <w:spacing w:after="120"/>
      </w:pPr>
      <w:r>
        <w:rPr>
          <w:rFonts w:ascii="Arial" w:cs="Arial" w:eastAsia="Arial" w:hAnsi="Arial"/>
          <w:sz w:val="20"/>
          <w:szCs w:val="20"/>
        </w:rPr>
        <w:t xml:space="preserve">No judge, no supervisory authority, no parliament currently has a technical tool to independently verify how many searches have been conducted on an individual, with what frequency, by whom and for what reason.</w:t>
      </w:r>
    </w:p>
    <w:p>
      <w:r>
        <w:t xml:space="preserve"/>
      </w:r>
    </w:p>
    <w:p>
      <w:pPr>
        <w:pStyle w:val="Heading2"/>
      </w:pPr>
      <w:r>
        <w:rPr>
          <w:rFonts w:ascii="Arial" w:cs="Arial" w:eastAsia="Arial" w:hAnsi="Arial"/>
          <w:b/>
          <w:bCs/>
          <w:color w:val="2E3A59"/>
          <w:sz w:val="26"/>
          <w:szCs w:val="26"/>
        </w:rPr>
        <w:t xml:space="preserve">2.2 Null operations are invisible</w:t>
      </w:r>
    </w:p>
    <w:p>
      <w:pPr>
        <w:spacing w:after="120"/>
      </w:pPr>
      <w:r>
        <w:rPr>
          <w:rFonts w:ascii="Arial" w:cs="Arial" w:eastAsia="Arial" w:hAnsi="Arial"/>
          <w:sz w:val="20"/>
          <w:szCs w:val="20"/>
        </w:rPr>
        <w:t xml:space="preserve">Operations that produce no results leave no trace in traditional systems. If an AI system is queried about an individual and the search yields nothing, that operation — which nonetheless constitutes access to personal data — is effectively invisible.</w:t>
      </w:r>
    </w:p>
    <w:p>
      <w:r>
        <w:t xml:space="preserve"/>
      </w:r>
    </w:p>
    <w:p>
      <w:pPr>
        <w:spacing w:after="120"/>
      </w:pPr>
      <w:r>
        <w:rPr>
          <w:rFonts w:ascii="Arial" w:cs="Arial" w:eastAsia="Arial" w:hAnsi="Arial"/>
          <w:sz w:val="20"/>
          <w:szCs w:val="20"/>
        </w:rPr>
        <w:t xml:space="preserve">ACP introduces the principle that every operation, regardless of its result, must be recorded. The presence in the register is separate from the content of the outcome.</w:t>
      </w:r>
    </w:p>
    <w:p>
      <w:r>
        <w:t xml:space="preserve"/>
      </w:r>
    </w:p>
    <w:p>
      <w:pPr>
        <w:pStyle w:val="Heading2"/>
      </w:pPr>
      <w:r>
        <w:rPr>
          <w:rFonts w:ascii="Arial" w:cs="Arial" w:eastAsia="Arial" w:hAnsi="Arial"/>
          <w:b/>
          <w:bCs/>
          <w:color w:val="2E3A59"/>
          <w:sz w:val="26"/>
          <w:szCs w:val="26"/>
        </w:rPr>
        <w:t xml:space="preserve">2.3 The current regulatory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EU AI Act (2024)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Traceability obligations for high-risk systems from August 2026. Does not define the technical implementation standard or the method of external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ISO/IEC 42001:2023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management standard. Requires documentation and governance but does not mandate cryptographic immutability of 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GDPR (2018)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Grants rights of access to personal data but does not require immutable traceability of search operations performed on that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ACP (proposal)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Technical standard under development. Aims to bridge the external verifiability gap that the three frameworks above do not directly address.</w:t>
            </w:r>
          </w:p>
        </w:tc>
      </w:tr>
    </w:tbl>
    <w:p>
      <w:r>
        <w:t xml:space="preserve"/>
      </w:r>
    </w:p>
    <w:p>
      <w:pPr>
        <w:pStyle w:val="Heading1"/>
      </w:pPr>
      <w:r>
        <w:rPr>
          <w:rFonts w:ascii="Arial" w:cs="Arial" w:eastAsia="Arial" w:hAnsi="Arial"/>
          <w:b/>
          <w:bCs/>
          <w:color w:val="2E3A59"/>
          <w:sz w:val="32"/>
          <w:szCs w:val="32"/>
        </w:rPr>
        <w:t xml:space="preserve">3. Comparison with Existing Solutions</w:t>
      </w:r>
    </w:p>
    <w:p>
      <w:pPr>
        <w:pStyle w:val="Heading2"/>
      </w:pPr>
      <w:r>
        <w:rPr>
          <w:rFonts w:ascii="Arial" w:cs="Arial" w:eastAsia="Arial" w:hAnsi="Arial"/>
          <w:b/>
          <w:bCs/>
          <w:color w:val="2E3A59"/>
          <w:sz w:val="26"/>
          <w:szCs w:val="26"/>
        </w:rPr>
        <w:t xml:space="preserve">3.1 The current market</w:t>
      </w:r>
    </w:p>
    <w:p>
      <w:pPr>
        <w:spacing w:after="120"/>
      </w:pPr>
      <w:r>
        <w:rPr>
          <w:rFonts w:ascii="Arial" w:cs="Arial" w:eastAsia="Arial" w:hAnsi="Arial"/>
          <w:sz w:val="20"/>
          <w:szCs w:val="20"/>
        </w:rPr>
        <w:t xml:space="preserve">The AI governance market is dominated by enterprise platforms addressing risk assessment, bias detection and documentation. The main players are IBM (watsonx.governance), OneTrust (AI Governance), Microsoft (Responsible AI Standard 2.0), Google, SAP and a long tail of specialised tools.</w:t>
      </w:r>
    </w:p>
    <w:p>
      <w:r>
        <w:t xml:space="preserve"/>
      </w:r>
    </w:p>
    <w:p>
      <w:pPr>
        <w:pStyle w:val="Heading2"/>
      </w:pPr>
      <w:r>
        <w:rPr>
          <w:rFonts w:ascii="Arial" w:cs="Arial" w:eastAsia="Arial" w:hAnsi="Arial"/>
          <w:b/>
          <w:bCs/>
          <w:color w:val="2E3A59"/>
          <w:sz w:val="26"/>
          <w:szCs w:val="26"/>
        </w:rPr>
        <w:t xml:space="preserve">3.2 What existing solutions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IBM watsonx.governance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model inventory, automated risk assessment, bias and drift monitoring, SageMaker and AWS integration. Focus: internal model lifecycle governance.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OneTrust AI 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system inventory, risk assessment, alignment to EU AI Act / ISO 42001 / NIST RMF, audit workflow. Focus: documentary compliance and policy enforcement.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 Responsible 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2.0 for ethical AI practices, internal framework, embedding governance in Azure platforms. Focus: internal standards and declarative transparency.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Dataiku Govern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 lifecycle governance, technical documentation, EU AI Act Art. 9–15 compliance. Focus: operationalising internal regulatory obligations.</w:t>
            </w:r>
          </w:p>
        </w:tc>
      </w:tr>
    </w:tbl>
    <w:p>
      <w:r>
        <w:t xml:space="preserve"/>
      </w:r>
    </w:p>
    <w:p>
      <w:pPr>
        <w:pStyle w:val="Heading2"/>
      </w:pPr>
      <w:r>
        <w:rPr>
          <w:rFonts w:ascii="Arial" w:cs="Arial" w:eastAsia="Arial" w:hAnsi="Arial"/>
          <w:b/>
          <w:bCs/>
          <w:color w:val="2E3A59"/>
          <w:sz w:val="26"/>
          <w:szCs w:val="26"/>
        </w:rPr>
        <w:t xml:space="preserve">3.3 The gap no one solves</w:t>
      </w:r>
    </w:p>
    <w:p>
      <w:pPr>
        <w:spacing w:after="120"/>
      </w:pPr>
      <w:r>
        <w:rPr>
          <w:rFonts w:ascii="Arial" w:cs="Arial" w:eastAsia="Arial" w:hAnsi="Arial"/>
          <w:sz w:val="20"/>
          <w:szCs w:val="20"/>
        </w:rPr>
        <w:t xml:space="preserve">All of the above solutions share a fundamental characteristic: logs and documentation remain under the operator's control. An external auditor must trust the completeness and integrity of what the company shows them.</w:t>
      </w:r>
    </w:p>
    <w:p>
      <w:r>
        <w:t xml:space="preserve"/>
      </w:r>
    </w:p>
    <w:p>
      <w:pPr>
        <w:spacing w:after="120"/>
      </w:pPr>
      <w:r>
        <w:rPr>
          <w:rFonts w:ascii="Arial" w:cs="Arial" w:eastAsia="Arial" w:hAnsi="Arial"/>
          <w:sz w:val="20"/>
          <w:szCs w:val="20"/>
        </w:rPr>
        <w:t xml:space="preserve">None of these platforms addresses the question: how can a third party independently verify that logs have not been altered or that operations have not been deleted?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ACP's gap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cryptographic verifiability — the ability of an authorised body to mathematically demonstrate the integrity of the register without accessing its contents and without having to trust the operator.</w:t>
            </w:r>
          </w:p>
        </w:tc>
      </w:tr>
    </w:tbl>
    <w:p>
      <w:r>
        <w:t xml:space="preserve"/>
      </w:r>
    </w:p>
    <w:p>
      <w:pPr>
        <w:pStyle w:val="Heading1"/>
      </w:pPr>
      <w:r>
        <w:rPr>
          <w:rFonts w:ascii="Arial" w:cs="Arial" w:eastAsia="Arial" w:hAnsi="Arial"/>
          <w:b/>
          <w:bCs/>
          <w:color w:val="2E3A59"/>
          <w:sz w:val="32"/>
          <w:szCs w:val="32"/>
        </w:rPr>
        <w:t xml:space="preserve">4. The Proposal: AIP-X Certification Protocol</w:t>
      </w:r>
    </w:p>
    <w:p>
      <w:pPr>
        <w:pStyle w:val="Heading2"/>
      </w:pPr>
      <w:r>
        <w:rPr>
          <w:rFonts w:ascii="Arial" w:cs="Arial" w:eastAsia="Arial" w:hAnsi="Arial"/>
          <w:b/>
          <w:bCs/>
          <w:color w:val="2E3A59"/>
          <w:sz w:val="26"/>
          <w:szCs w:val="26"/>
        </w:rPr>
        <w:t xml:space="preserve">4.1 Core principles</w:t>
      </w:r>
    </w:p>
    <w:p>
      <w:pPr>
        <w:pStyle w:val="ListParagraph"/>
        <w:numPr>
          <w:ilvl w:val="0"/>
          <w:numId w:val="2"/>
        </w:numPr>
        <w:spacing w:after="60"/>
      </w:pPr>
      <w:r>
        <w:rPr>
          <w:rFonts w:ascii="Arial" w:cs="Arial" w:eastAsia="Arial" w:hAnsi="Arial"/>
          <w:sz w:val="20"/>
          <w:szCs w:val="20"/>
        </w:rPr>
        <w:t xml:space="preserve">Immutability: once recorded, an operation cannot be modified or deleted</w:t>
      </w:r>
    </w:p>
    <w:p>
      <w:pPr>
        <w:pStyle w:val="ListParagraph"/>
        <w:numPr>
          <w:ilvl w:val="0"/>
          <w:numId w:val="2"/>
        </w:numPr>
        <w:spacing w:after="60"/>
      </w:pPr>
      <w:r>
        <w:rPr>
          <w:rFonts w:ascii="Arial" w:cs="Arial" w:eastAsia="Arial" w:hAnsi="Arial"/>
          <w:sz w:val="20"/>
          <w:szCs w:val="20"/>
        </w:rPr>
        <w:t xml:space="preserve">Completeness: every operation, including those with a null result, is recorded</w:t>
      </w:r>
    </w:p>
    <w:p>
      <w:pPr>
        <w:pStyle w:val="ListParagraph"/>
        <w:numPr>
          <w:ilvl w:val="0"/>
          <w:numId w:val="2"/>
        </w:numPr>
        <w:spacing w:after="60"/>
      </w:pPr>
      <w:r>
        <w:rPr>
          <w:rFonts w:ascii="Arial" w:cs="Arial" w:eastAsia="Arial" w:hAnsi="Arial"/>
          <w:sz w:val="20"/>
          <w:szCs w:val="20"/>
        </w:rPr>
        <w:t xml:space="preserve">Selective privacy: content remains encrypted; only authorised bodies may request specific audits</w:t>
      </w:r>
    </w:p>
    <w:p>
      <w:pPr>
        <w:pStyle w:val="ListParagraph"/>
        <w:numPr>
          <w:ilvl w:val="0"/>
          <w:numId w:val="2"/>
        </w:numPr>
        <w:spacing w:after="60"/>
      </w:pPr>
      <w:r>
        <w:rPr>
          <w:rFonts w:ascii="Arial" w:cs="Arial" w:eastAsia="Arial" w:hAnsi="Arial"/>
          <w:sz w:val="20"/>
          <w:szCs w:val="20"/>
        </w:rPr>
        <w:t xml:space="preserve">Verifiability: the correctness of the register can be demonstrated mathematically without revealing the underlying data</w:t>
      </w:r>
    </w:p>
    <w:p>
      <w:r>
        <w:t xml:space="preserve"/>
      </w:r>
    </w:p>
    <w:p>
      <w:pPr>
        <w:pStyle w:val="Heading2"/>
      </w:pPr>
      <w:r>
        <w:rPr>
          <w:rFonts w:ascii="Arial" w:cs="Arial" w:eastAsia="Arial" w:hAnsi="Arial"/>
          <w:b/>
          <w:bCs/>
          <w:color w:val="2E3A59"/>
          <w:sz w:val="26"/>
          <w:szCs w:val="26"/>
        </w:rPr>
        <w:t xml:space="preserve">4.2 Current technical architecture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1 — Registry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operation is SHA-256 hashed at execution time and appended to an append-only ledger in PostgreSQL.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2 — Private blockchain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Blocks chained with proof-of-work (configurable difficulty). Private, non-decentralised blockchain.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3 — Ethereum hash anchor (roadmap)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Periodic anchoring of the registry hash on Ethereum. Enables external verification without access to content. Next concrete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4 — ZKP (roadmap)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Zero-Knowledge Proofs for privately verifiable audits. Long-term; requires specialist technical partnership.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5 — Certification (roadmap)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Onboarding protocol for third-party certification bodies. Not yet defined.</w:t>
            </w:r>
          </w:p>
        </w:tc>
      </w:tr>
    </w:tbl>
    <w:p>
      <w:r>
        <w:t xml:space="preserve"/>
      </w:r>
    </w:p>
    <w:p>
      <w:pPr>
        <w:spacing w:after="120"/>
      </w:pPr>
      <w:r>
        <w:rPr>
          <w:rFonts w:ascii="Arial" w:cs="Arial" w:eastAsia="Arial" w:hAnsi="Arial"/>
          <w:sz w:val="20"/>
          <w:szCs w:val="20"/>
        </w:rPr>
        <w:t xml:space="preserve">Note: the current blockchain is private and centralised. Anchoring to a public blockchain is the next realistic step and would already enable significant external verification.</w:t>
      </w:r>
    </w:p>
    <w:p>
      <w:r>
        <w:t xml:space="preserve"/>
      </w:r>
    </w:p>
    <w:p>
      <w:pPr>
        <w:pStyle w:val="Heading2"/>
      </w:pPr>
      <w:r>
        <w:rPr>
          <w:rFonts w:ascii="Arial" w:cs="Arial" w:eastAsia="Arial" w:hAnsi="Arial"/>
          <w:b/>
          <w:bCs/>
          <w:color w:val="2E3A59"/>
          <w:sz w:val="26"/>
          <w:szCs w:val="26"/>
        </w:rPr>
        <w:t xml:space="preserve">4.3 The operational flow</w:t>
      </w:r>
    </w:p>
    <w:p>
      <w:pPr>
        <w:pStyle w:val="ListParagraph"/>
        <w:numPr>
          <w:ilvl w:val="0"/>
          <w:numId w:val="2"/>
        </w:numPr>
        <w:spacing w:after="60"/>
      </w:pPr>
      <w:r>
        <w:rPr>
          <w:rFonts w:ascii="Arial" w:cs="Arial" w:eastAsia="Arial" w:hAnsi="Arial"/>
          <w:sz w:val="20"/>
          <w:szCs w:val="20"/>
        </w:rPr>
        <w:t xml:space="preserve">SUBMIT: the operator submits the request with a mandatory justification</w:t>
      </w:r>
    </w:p>
    <w:p>
      <w:pPr>
        <w:pStyle w:val="ListParagraph"/>
        <w:numPr>
          <w:ilvl w:val="0"/>
          <w:numId w:val="2"/>
        </w:numPr>
        <w:spacing w:after="60"/>
      </w:pPr>
      <w:r>
        <w:rPr>
          <w:rFonts w:ascii="Arial" w:cs="Arial" w:eastAsia="Arial" w:hAnsi="Arial"/>
          <w:sz w:val="20"/>
          <w:szCs w:val="20"/>
        </w:rPr>
        <w:t xml:space="preserve">APPROVE: at least two independent approvers authorise the operation before execution</w:t>
      </w:r>
    </w:p>
    <w:p>
      <w:pPr>
        <w:pStyle w:val="ListParagraph"/>
        <w:numPr>
          <w:ilvl w:val="0"/>
          <w:numId w:val="2"/>
        </w:numPr>
        <w:spacing w:after="60"/>
      </w:pPr>
      <w:r>
        <w:rPr>
          <w:rFonts w:ascii="Arial" w:cs="Arial" w:eastAsia="Arial" w:hAnsi="Arial"/>
          <w:sz w:val="20"/>
          <w:szCs w:val="20"/>
        </w:rPr>
        <w:t xml:space="preserve">EXECUTE: the operation is executed and hashed (hash only, not the content)</w:t>
      </w:r>
    </w:p>
    <w:p>
      <w:pPr>
        <w:pStyle w:val="ListParagraph"/>
        <w:numPr>
          <w:ilvl w:val="0"/>
          <w:numId w:val="2"/>
        </w:numPr>
        <w:spacing w:after="60"/>
      </w:pPr>
      <w:r>
        <w:rPr>
          <w:rFonts w:ascii="Arial" w:cs="Arial" w:eastAsia="Arial" w:hAnsi="Arial"/>
          <w:sz w:val="20"/>
          <w:szCs w:val="20"/>
        </w:rPr>
        <w:t xml:space="preserve">CHAIN: the event is recorded on-chain with timestamp, actors and cryptographic hash</w:t>
      </w:r>
    </w:p>
    <w:p>
      <w:pPr>
        <w:pStyle w:val="ListParagraph"/>
        <w:numPr>
          <w:ilvl w:val="0"/>
          <w:numId w:val="2"/>
        </w:numPr>
        <w:spacing w:after="60"/>
      </w:pPr>
      <w:r>
        <w:rPr>
          <w:rFonts w:ascii="Arial" w:cs="Arial" w:eastAsia="Arial" w:hAnsi="Arial"/>
          <w:sz w:val="20"/>
          <w:szCs w:val="20"/>
        </w:rPr>
        <w:t xml:space="preserve">VERIFY: authorised bodies can verify the integrity of the chain</w:t>
      </w:r>
    </w:p>
    <w:p>
      <w:r>
        <w:t xml:space="preserve"/>
      </w:r>
    </w:p>
    <w:p>
      <w:pPr>
        <w:pStyle w:val="Heading1"/>
      </w:pPr>
      <w:r>
        <w:rPr>
          <w:rFonts w:ascii="Arial" w:cs="Arial" w:eastAsia="Arial" w:hAnsi="Arial"/>
          <w:b/>
          <w:bCs/>
          <w:color w:val="2E3A59"/>
          <w:sz w:val="32"/>
          <w:szCs w:val="32"/>
        </w:rPr>
        <w:t xml:space="preserve">5. Current Status: What Exists Today</w:t>
      </w:r>
    </w:p>
    <w:p>
      <w:pPr>
        <w:pStyle w:val="Heading2"/>
      </w:pPr>
      <w:r>
        <w:rPr>
          <w:rFonts w:ascii="Arial" w:cs="Arial" w:eastAsia="Arial" w:hAnsi="Arial"/>
          <w:b/>
          <w:bCs/>
          <w:color w:val="2E3A59"/>
          <w:sz w:val="26"/>
          <w:szCs w:val="26"/>
        </w:rPr>
        <w:t xml:space="preserve">5.1 Functional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AIP-X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https://aip-x-api-production.up.railway.app — Python backend, private blockchain, immutable ledger, API key authentication.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AIP-X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https://aip-x-dashboard-production.up.railway.app — Web interface with blockchain explorer, audit ledger and approval workflow.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DecisionLedger SaaS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https://decision-flow-ledger-production.up.railway.app — Multi-tenant version for organisations.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Source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https://github.com/LedgerStone/decision-flow-ledger — Open source, 68/68 automated tests passing.</w:t>
            </w:r>
          </w:p>
        </w:tc>
      </w:tr>
    </w:tbl>
    <w:p>
      <w:r>
        <w:t xml:space="preserve"/>
      </w:r>
    </w:p>
    <w:p>
      <w:pPr>
        <w:pStyle w:val="Heading2"/>
      </w:pPr>
      <w:r>
        <w:rPr>
          <w:rFonts w:ascii="Arial" w:cs="Arial" w:eastAsia="Arial" w:hAnsi="Arial"/>
          <w:b/>
          <w:bCs/>
          <w:color w:val="2E3A59"/>
          <w:sz w:val="26"/>
          <w:szCs w:val="26"/>
        </w:rPr>
        <w:t xml:space="preserve">5.2 Gaps to address — an honest list</w:t>
      </w:r>
    </w:p>
    <w:p>
      <w:pPr>
        <w:pStyle w:val="ListParagraph"/>
        <w:numPr>
          <w:ilvl w:val="0"/>
          <w:numId w:val="2"/>
        </w:numPr>
        <w:spacing w:after="60"/>
      </w:pPr>
      <w:r>
        <w:rPr>
          <w:rFonts w:ascii="Arial" w:cs="Arial" w:eastAsia="Arial" w:hAnsi="Arial"/>
          <w:sz w:val="20"/>
          <w:szCs w:val="20"/>
        </w:rPr>
        <w:t xml:space="preserve">Public blockchain anchoring (Ethereum) for external verifiability — next realistic step</w:t>
      </w:r>
    </w:p>
    <w:p>
      <w:pPr>
        <w:pStyle w:val="ListParagraph"/>
        <w:numPr>
          <w:ilvl w:val="0"/>
          <w:numId w:val="2"/>
        </w:numPr>
        <w:spacing w:after="60"/>
      </w:pPr>
      <w:r>
        <w:rPr>
          <w:rFonts w:ascii="Arial" w:cs="Arial" w:eastAsia="Arial" w:hAnsi="Arial"/>
          <w:sz w:val="20"/>
          <w:szCs w:val="20"/>
        </w:rPr>
        <w:t xml:space="preserve">Zero-Knowledge Proofs integration for private audits — long-term</w:t>
      </w:r>
    </w:p>
    <w:p>
      <w:pPr>
        <w:pStyle w:val="ListParagraph"/>
        <w:numPr>
          <w:ilvl w:val="0"/>
          <w:numId w:val="2"/>
        </w:numPr>
        <w:spacing w:after="60"/>
      </w:pPr>
      <w:r>
        <w:rPr>
          <w:rFonts w:ascii="Arial" w:cs="Arial" w:eastAsia="Arial" w:hAnsi="Arial"/>
          <w:sz w:val="20"/>
          <w:szCs w:val="20"/>
        </w:rPr>
        <w:t xml:space="preserve">Formal definition of the certification protocol and obligations of adherents</w:t>
      </w:r>
    </w:p>
    <w:p>
      <w:pPr>
        <w:pStyle w:val="ListParagraph"/>
        <w:numPr>
          <w:ilvl w:val="0"/>
          <w:numId w:val="2"/>
        </w:numPr>
        <w:spacing w:after="60"/>
      </w:pPr>
      <w:r>
        <w:rPr>
          <w:rFonts w:ascii="Arial" w:cs="Arial" w:eastAsia="Arial" w:hAnsi="Arial"/>
          <w:sz w:val="20"/>
          <w:szCs w:val="20"/>
        </w:rPr>
        <w:t xml:space="preserve">Engagement of at least one supervisory authority or institutional body</w:t>
      </w:r>
    </w:p>
    <w:p>
      <w:pPr>
        <w:pStyle w:val="ListParagraph"/>
        <w:numPr>
          <w:ilvl w:val="0"/>
          <w:numId w:val="2"/>
        </w:numPr>
        <w:spacing w:after="60"/>
      </w:pPr>
      <w:r>
        <w:rPr>
          <w:rFonts w:ascii="Arial" w:cs="Arial" w:eastAsia="Arial" w:hAnsi="Arial"/>
          <w:sz w:val="20"/>
          <w:szCs w:val="20"/>
        </w:rPr>
        <w:t xml:space="preserve">Legal validation of the protocol in at least one European jurisdiction</w:t>
      </w:r>
    </w:p>
    <w:p>
      <w:pPr>
        <w:pStyle w:val="ListParagraph"/>
        <w:numPr>
          <w:ilvl w:val="0"/>
          <w:numId w:val="2"/>
        </w:numPr>
        <w:spacing w:after="60"/>
      </w:pPr>
      <w:r>
        <w:rPr>
          <w:rFonts w:ascii="Arial" w:cs="Arial" w:eastAsia="Arial" w:hAnsi="Arial"/>
          <w:sz w:val="20"/>
          <w:szCs w:val="20"/>
        </w:rPr>
        <w:t xml:space="preserve">Independent audit of the code and architecture</w:t>
      </w:r>
    </w:p>
    <w:p>
      <w:r>
        <w:t xml:space="preserve"/>
      </w:r>
    </w:p>
    <w:p>
      <w:pPr>
        <w:pStyle w:val="Heading1"/>
      </w:pPr>
      <w:r>
        <w:rPr>
          <w:rFonts w:ascii="Arial" w:cs="Arial" w:eastAsia="Arial" w:hAnsi="Arial"/>
          <w:b/>
          <w:bCs/>
          <w:color w:val="2E3A59"/>
          <w:sz w:val="32"/>
          <w:szCs w:val="32"/>
        </w:rPr>
        <w:t xml:space="preserve">6. Who ACP Could Serve</w:t>
      </w:r>
    </w:p>
    <w:p>
      <w:pPr>
        <w:pStyle w:val="Heading2"/>
      </w:pPr>
      <w:r>
        <w:rPr>
          <w:rFonts w:ascii="Arial" w:cs="Arial" w:eastAsia="Arial" w:hAnsi="Arial"/>
          <w:b/>
          <w:bCs/>
          <w:color w:val="2E3A59"/>
          <w:sz w:val="26"/>
          <w:szCs w:val="26"/>
        </w:rPr>
        <w:t xml:space="preserve">6.1 Potentially interested operators</w:t>
      </w:r>
    </w:p>
    <w:p>
      <w:pPr>
        <w:pStyle w:val="ListParagraph"/>
        <w:numPr>
          <w:ilvl w:val="0"/>
          <w:numId w:val="2"/>
        </w:numPr>
        <w:spacing w:after="60"/>
      </w:pPr>
      <w:r>
        <w:rPr>
          <w:rFonts w:ascii="Arial" w:cs="Arial" w:eastAsia="Arial" w:hAnsi="Arial"/>
          <w:sz w:val="20"/>
          <w:szCs w:val="20"/>
        </w:rPr>
        <w:t xml:space="preserve">Large-scale intelligence and data analytics platforms</w:t>
      </w:r>
    </w:p>
    <w:p>
      <w:pPr>
        <w:pStyle w:val="ListParagraph"/>
        <w:numPr>
          <w:ilvl w:val="0"/>
          <w:numId w:val="2"/>
        </w:numPr>
        <w:spacing w:after="60"/>
      </w:pPr>
      <w:r>
        <w:rPr>
          <w:rFonts w:ascii="Arial" w:cs="Arial" w:eastAsia="Arial" w:hAnsi="Arial"/>
          <w:sz w:val="20"/>
          <w:szCs w:val="20"/>
        </w:rPr>
        <w:t xml:space="preserve">Credit scoring and risk assessment systems</w:t>
      </w:r>
    </w:p>
    <w:p>
      <w:pPr>
        <w:pStyle w:val="ListParagraph"/>
        <w:numPr>
          <w:ilvl w:val="0"/>
          <w:numId w:val="2"/>
        </w:numPr>
        <w:spacing w:after="60"/>
      </w:pPr>
      <w:r>
        <w:rPr>
          <w:rFonts w:ascii="Arial" w:cs="Arial" w:eastAsia="Arial" w:hAnsi="Arial"/>
          <w:sz w:val="20"/>
          <w:szCs w:val="20"/>
        </w:rPr>
        <w:t xml:space="preserve">AI-based recruitment and personnel evaluation platforms</w:t>
      </w:r>
    </w:p>
    <w:p>
      <w:pPr>
        <w:pStyle w:val="ListParagraph"/>
        <w:numPr>
          <w:ilvl w:val="0"/>
          <w:numId w:val="2"/>
        </w:numPr>
        <w:spacing w:after="60"/>
      </w:pPr>
      <w:r>
        <w:rPr>
          <w:rFonts w:ascii="Arial" w:cs="Arial" w:eastAsia="Arial" w:hAnsi="Arial"/>
          <w:sz w:val="20"/>
          <w:szCs w:val="20"/>
        </w:rPr>
        <w:t xml:space="preserve">Medical diagnostic decision-support systems</w:t>
      </w:r>
    </w:p>
    <w:p>
      <w:pPr>
        <w:pStyle w:val="ListParagraph"/>
        <w:numPr>
          <w:ilvl w:val="0"/>
          <w:numId w:val="2"/>
        </w:numPr>
        <w:spacing w:after="60"/>
      </w:pPr>
      <w:r>
        <w:rPr>
          <w:rFonts w:ascii="Arial" w:cs="Arial" w:eastAsia="Arial" w:hAnsi="Arial"/>
          <w:sz w:val="20"/>
          <w:szCs w:val="20"/>
        </w:rPr>
        <w:t xml:space="preserve">Any AI system supporting decisions in regulated contexts</w:t>
      </w:r>
    </w:p>
    <w:p>
      <w:r>
        <w:t xml:space="preserve"/>
      </w:r>
    </w:p>
    <w:p>
      <w:pPr>
        <w:spacing w:after="120"/>
      </w:pPr>
      <w:r>
        <w:rPr>
          <w:rFonts w:ascii="Arial" w:cs="Arial" w:eastAsia="Arial" w:hAnsi="Arial"/>
          <w:sz w:val="20"/>
          <w:szCs w:val="20"/>
        </w:rPr>
        <w:t xml:space="preserve">Note: the adoption by specific operators is a long-term objective that presupposes institutional recognition of the standard. At present, no agreement with operators of this kind exists.</w:t>
      </w:r>
    </w:p>
    <w:p>
      <w:r>
        <w:t xml:space="preserve"/>
      </w:r>
    </w:p>
    <w:p>
      <w:pPr>
        <w:pStyle w:val="Heading2"/>
      </w:pPr>
      <w:r>
        <w:rPr>
          <w:rFonts w:ascii="Arial" w:cs="Arial" w:eastAsia="Arial" w:hAnsi="Arial"/>
          <w:b/>
          <w:bCs/>
          <w:color w:val="2E3A59"/>
          <w:sz w:val="26"/>
          <w:szCs w:val="26"/>
        </w:rPr>
        <w:t xml:space="preserve">6.2 Who could certify in the future</w:t>
      </w:r>
    </w:p>
    <w:p>
      <w:pPr>
        <w:pStyle w:val="ListParagraph"/>
        <w:numPr>
          <w:ilvl w:val="0"/>
          <w:numId w:val="2"/>
        </w:numPr>
        <w:spacing w:after="60"/>
      </w:pPr>
      <w:r>
        <w:rPr>
          <w:rFonts w:ascii="Arial" w:cs="Arial" w:eastAsia="Arial" w:hAnsi="Arial"/>
          <w:sz w:val="20"/>
          <w:szCs w:val="20"/>
        </w:rPr>
        <w:t xml:space="preserve">Italian Data Protection Authority (Garante per la Protezione dei Dati Personali — GPDP)</w:t>
      </w:r>
    </w:p>
    <w:p>
      <w:pPr>
        <w:pStyle w:val="ListParagraph"/>
        <w:numPr>
          <w:ilvl w:val="0"/>
          <w:numId w:val="2"/>
        </w:numPr>
        <w:spacing w:after="60"/>
      </w:pPr>
      <w:r>
        <w:rPr>
          <w:rFonts w:ascii="Arial" w:cs="Arial" w:eastAsia="Arial" w:hAnsi="Arial"/>
          <w:sz w:val="20"/>
          <w:szCs w:val="20"/>
        </w:rPr>
        <w:t xml:space="preserve">European Data Protection Board (EDPB)</w:t>
      </w:r>
    </w:p>
    <w:p>
      <w:pPr>
        <w:pStyle w:val="ListParagraph"/>
        <w:numPr>
          <w:ilvl w:val="0"/>
          <w:numId w:val="2"/>
        </w:numPr>
        <w:spacing w:after="60"/>
      </w:pPr>
      <w:r>
        <w:rPr>
          <w:rFonts w:ascii="Arial" w:cs="Arial" w:eastAsia="Arial" w:hAnsi="Arial"/>
          <w:sz w:val="20"/>
          <w:szCs w:val="20"/>
        </w:rPr>
        <w:t xml:space="preserve">Certification bodies pending designation under the EU AI Act</w:t>
      </w:r>
    </w:p>
    <w:p>
      <w:pPr>
        <w:pStyle w:val="ListParagraph"/>
        <w:numPr>
          <w:ilvl w:val="0"/>
          <w:numId w:val="2"/>
        </w:numPr>
        <w:spacing w:after="60"/>
      </w:pPr>
      <w:r>
        <w:rPr>
          <w:rFonts w:ascii="Arial" w:cs="Arial" w:eastAsia="Arial" w:hAnsi="Arial"/>
          <w:sz w:val="20"/>
          <w:szCs w:val="20"/>
        </w:rPr>
        <w:t xml:space="preserve">ISO-accredited certification bodies in the IT/AI sector</w:t>
      </w:r>
    </w:p>
    <w:p>
      <w:r>
        <w:t xml:space="preserve"/>
      </w:r>
    </w:p>
    <w:p>
      <w:pPr>
        <w:spacing w:after="120"/>
      </w:pPr>
      <w:r>
        <w:rPr>
          <w:rFonts w:ascii="Arial" w:cs="Arial" w:eastAsia="Arial" w:hAnsi="Arial"/>
          <w:sz w:val="20"/>
          <w:szCs w:val="20"/>
        </w:rPr>
        <w:t xml:space="preserve">Note: no certification body has yet been engaged. The designation process for notified bodies under the AI Act is ongoing at European level.</w:t>
      </w:r>
    </w:p>
    <w:p>
      <w:r>
        <w:t xml:space="preserve"/>
      </w:r>
    </w:p>
    <w:p>
      <w:pPr>
        <w:pStyle w:val="Heading1"/>
      </w:pPr>
      <w:r>
        <w:rPr>
          <w:rFonts w:ascii="Arial" w:cs="Arial" w:eastAsia="Arial" w:hAnsi="Arial"/>
          <w:b/>
          <w:bCs/>
          <w:color w:val="2E3A59"/>
          <w:sz w:val="32"/>
          <w:szCs w:val="32"/>
        </w:rPr>
        <w:t xml:space="preserve">7. Indicative Roadmap</w:t>
      </w:r>
    </w:p>
    <w:p>
      <w:pPr>
        <w:spacing w:after="120"/>
      </w:pPr>
      <w:r>
        <w:rPr>
          <w:rFonts w:ascii="Arial" w:cs="Arial" w:eastAsia="Arial" w:hAnsi="Arial"/>
          <w:sz w:val="20"/>
          <w:szCs w:val="20"/>
        </w:rPr>
        <w:t xml:space="preserve">Dates are indicative and subject to revision depending on available resources and partners involved.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6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Q2 2026 — Phase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Completion of ACP v1.0 technical draft. Opening to public and institutional feedback. Search for technical and institutional partners.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Q3 2026 — Phase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Implementation of Ethereum hash anchor (concrete step towards external verifiability). Opening of dialogue with at least one European supervisory authority. First pilot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Q4 2026 — Phase 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Zero-Knowledge Proofs prototype. Formal definition of the certification protocol. Independent code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2027 — Phase 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Formal proposal to contribute to the EU AI Act technical debate. Target: at least 3 organisations adopting ACP as an internal standard.</w:t>
            </w:r>
          </w:p>
        </w:tc>
      </w:tr>
    </w:tbl>
    <w:p>
      <w:r>
        <w:t xml:space="preserve"/>
      </w:r>
    </w:p>
    <w:p>
      <w:pPr>
        <w:pStyle w:val="Heading1"/>
      </w:pPr>
      <w:r>
        <w:rPr>
          <w:rFonts w:ascii="Arial" w:cs="Arial" w:eastAsia="Arial" w:hAnsi="Arial"/>
          <w:b/>
          <w:bCs/>
          <w:color w:val="2E3A59"/>
          <w:sz w:val="32"/>
          <w:szCs w:val="32"/>
        </w:rPr>
        <w:t xml:space="preserve">8. How to Contribute</w:t>
      </w:r>
    </w:p>
    <w:p>
      <w:pPr>
        <w:spacing w:after="120"/>
      </w:pPr>
      <w:r>
        <w:rPr>
          <w:rFonts w:ascii="Arial" w:cs="Arial" w:eastAsia="Arial" w:hAnsi="Arial"/>
          <w:sz w:val="20"/>
          <w:szCs w:val="20"/>
        </w:rPr>
        <w:t xml:space="preserve">ACP is an open proposal. The project needs contributions in three distinct areas:</w:t>
      </w:r>
    </w:p>
    <w:p>
      <w:r>
        <w:t xml:space="preserve"/>
      </w:r>
    </w:p>
    <w:p>
      <w:pPr>
        <w:pStyle w:val="Heading2"/>
      </w:pPr>
      <w:r>
        <w:rPr>
          <w:rFonts w:ascii="Arial" w:cs="Arial" w:eastAsia="Arial" w:hAnsi="Arial"/>
          <w:b/>
          <w:bCs/>
          <w:color w:val="2E3A59"/>
          <w:sz w:val="26"/>
          <w:szCs w:val="26"/>
        </w:rPr>
        <w:t xml:space="preserve">8.1 Technical partners</w:t>
      </w:r>
    </w:p>
    <w:p>
      <w:pPr>
        <w:spacing w:after="120"/>
      </w:pPr>
      <w:r>
        <w:rPr>
          <w:rFonts w:ascii="Arial" w:cs="Arial" w:eastAsia="Arial" w:hAnsi="Arial"/>
          <w:sz w:val="20"/>
          <w:szCs w:val="20"/>
        </w:rPr>
        <w:t xml:space="preserve">We are seeking collaborators with expertise in:</w:t>
      </w:r>
    </w:p>
    <w:p>
      <w:pPr>
        <w:pStyle w:val="ListParagraph"/>
        <w:numPr>
          <w:ilvl w:val="0"/>
          <w:numId w:val="2"/>
        </w:numPr>
        <w:spacing w:after="60"/>
      </w:pPr>
      <w:r>
        <w:rPr>
          <w:rFonts w:ascii="Arial" w:cs="Arial" w:eastAsia="Arial" w:hAnsi="Arial"/>
          <w:sz w:val="20"/>
          <w:szCs w:val="20"/>
        </w:rPr>
        <w:t xml:space="preserve">Applied cryptography and Zero-Knowledge Proofs — to take Layer 3 from concept to implementation</w:t>
      </w:r>
    </w:p>
    <w:p>
      <w:pPr>
        <w:pStyle w:val="ListParagraph"/>
        <w:numPr>
          <w:ilvl w:val="0"/>
          <w:numId w:val="2"/>
        </w:numPr>
        <w:spacing w:after="60"/>
      </w:pPr>
      <w:r>
        <w:rPr>
          <w:rFonts w:ascii="Arial" w:cs="Arial" w:eastAsia="Arial" w:hAnsi="Arial"/>
          <w:sz w:val="20"/>
          <w:szCs w:val="20"/>
        </w:rPr>
        <w:t xml:space="preserve">Ethereum smart contracts — to implement the hash anchor on a public blockchain</w:t>
      </w:r>
    </w:p>
    <w:p>
      <w:pPr>
        <w:pStyle w:val="ListParagraph"/>
        <w:numPr>
          <w:ilvl w:val="0"/>
          <w:numId w:val="2"/>
        </w:numPr>
        <w:spacing w:after="60"/>
      </w:pPr>
      <w:r>
        <w:rPr>
          <w:rFonts w:ascii="Arial" w:cs="Arial" w:eastAsia="Arial" w:hAnsi="Arial"/>
          <w:sz w:val="20"/>
          <w:szCs w:val="20"/>
        </w:rPr>
        <w:t xml:space="preserve">Security audit — for an independent review of the current architecture</w:t>
      </w:r>
    </w:p>
    <w:p>
      <w:r>
        <w:t xml:space="preserve"/>
      </w:r>
    </w:p>
    <w:p>
      <w:pPr>
        <w:spacing w:after="120"/>
      </w:pPr>
      <w:r>
        <w:rPr>
          <w:rFonts w:ascii="Arial" w:cs="Arial" w:eastAsia="Arial" w:hAnsi="Arial"/>
          <w:sz w:val="20"/>
          <w:szCs w:val="20"/>
        </w:rPr>
        <w:t xml:space="preserve">The code is open source on GitHub. Issues and pull requests are welcome.</w:t>
      </w:r>
    </w:p>
    <w:p>
      <w:r>
        <w:t xml:space="preserve"/>
      </w:r>
    </w:p>
    <w:p>
      <w:pPr>
        <w:pStyle w:val="Heading2"/>
      </w:pPr>
      <w:r>
        <w:rPr>
          <w:rFonts w:ascii="Arial" w:cs="Arial" w:eastAsia="Arial" w:hAnsi="Arial"/>
          <w:b/>
          <w:bCs/>
          <w:color w:val="2E3A59"/>
          <w:sz w:val="26"/>
          <w:szCs w:val="26"/>
        </w:rPr>
        <w:t xml:space="preserve">8.2 Institutional partners</w:t>
      </w:r>
    </w:p>
    <w:p>
      <w:pPr>
        <w:spacing w:after="120"/>
      </w:pPr>
      <w:r>
        <w:rPr>
          <w:rFonts w:ascii="Arial" w:cs="Arial" w:eastAsia="Arial" w:hAnsi="Arial"/>
          <w:sz w:val="20"/>
          <w:szCs w:val="20"/>
        </w:rPr>
        <w:t xml:space="preserve">We are seeking supervisory authorities, research bodies or public entities willing to:</w:t>
      </w:r>
    </w:p>
    <w:p>
      <w:pPr>
        <w:pStyle w:val="ListParagraph"/>
        <w:numPr>
          <w:ilvl w:val="0"/>
          <w:numId w:val="2"/>
        </w:numPr>
        <w:spacing w:after="60"/>
      </w:pPr>
      <w:r>
        <w:rPr>
          <w:rFonts w:ascii="Arial" w:cs="Arial" w:eastAsia="Arial" w:hAnsi="Arial"/>
          <w:sz w:val="20"/>
          <w:szCs w:val="20"/>
        </w:rPr>
        <w:t xml:space="preserve">Engage in an exploratory dialogue on the feasibility of the certification protocol</w:t>
      </w:r>
    </w:p>
    <w:p>
      <w:pPr>
        <w:pStyle w:val="ListParagraph"/>
        <w:numPr>
          <w:ilvl w:val="0"/>
          <w:numId w:val="2"/>
        </w:numPr>
        <w:spacing w:after="60"/>
      </w:pPr>
      <w:r>
        <w:rPr>
          <w:rFonts w:ascii="Arial" w:cs="Arial" w:eastAsia="Arial" w:hAnsi="Arial"/>
          <w:sz w:val="20"/>
          <w:szCs w:val="20"/>
        </w:rPr>
        <w:t xml:space="preserve">Participate as observers in a first pilot case</w:t>
      </w:r>
    </w:p>
    <w:p>
      <w:pPr>
        <w:pStyle w:val="ListParagraph"/>
        <w:numPr>
          <w:ilvl w:val="0"/>
          <w:numId w:val="2"/>
        </w:numPr>
        <w:spacing w:after="60"/>
      </w:pPr>
      <w:r>
        <w:rPr>
          <w:rFonts w:ascii="Arial" w:cs="Arial" w:eastAsia="Arial" w:hAnsi="Arial"/>
          <w:sz w:val="20"/>
          <w:szCs w:val="20"/>
        </w:rPr>
        <w:t xml:space="preserve">Provide feedback on the structure of the protocol from a regulatory perspective</w:t>
      </w:r>
    </w:p>
    <w:p>
      <w:r>
        <w:t xml:space="preserve"/>
      </w:r>
    </w:p>
    <w:p>
      <w:pPr>
        <w:spacing w:after="120"/>
      </w:pPr>
      <w:r>
        <w:rPr>
          <w:rFonts w:ascii="Arial" w:cs="Arial" w:eastAsia="Arial" w:hAnsi="Arial"/>
          <w:sz w:val="20"/>
          <w:szCs w:val="20"/>
        </w:rPr>
        <w:t xml:space="preserve">We are not asking for formal commitments at this stage — only a conversation.</w:t>
      </w:r>
    </w:p>
    <w:p>
      <w:r>
        <w:t xml:space="preserve"/>
      </w:r>
    </w:p>
    <w:p>
      <w:pPr>
        <w:pStyle w:val="Heading2"/>
      </w:pPr>
      <w:r>
        <w:rPr>
          <w:rFonts w:ascii="Arial" w:cs="Arial" w:eastAsia="Arial" w:hAnsi="Arial"/>
          <w:b/>
          <w:bCs/>
          <w:color w:val="2E3A59"/>
          <w:sz w:val="26"/>
          <w:szCs w:val="26"/>
        </w:rPr>
        <w:t xml:space="preserve">8.3 Pilot organisations</w:t>
      </w:r>
    </w:p>
    <w:p>
      <w:pPr>
        <w:spacing w:after="120"/>
      </w:pPr>
      <w:r>
        <w:rPr>
          <w:rFonts w:ascii="Arial" w:cs="Arial" w:eastAsia="Arial" w:hAnsi="Arial"/>
          <w:sz w:val="20"/>
          <w:szCs w:val="20"/>
        </w:rPr>
        <w:t xml:space="preserve">We are seeking organisations that use AI systems in regulated contexts and wish to:</w:t>
      </w:r>
    </w:p>
    <w:p>
      <w:pPr>
        <w:pStyle w:val="ListParagraph"/>
        <w:numPr>
          <w:ilvl w:val="0"/>
          <w:numId w:val="2"/>
        </w:numPr>
        <w:spacing w:after="60"/>
      </w:pPr>
      <w:r>
        <w:rPr>
          <w:rFonts w:ascii="Arial" w:cs="Arial" w:eastAsia="Arial" w:hAnsi="Arial"/>
          <w:sz w:val="20"/>
          <w:szCs w:val="20"/>
        </w:rPr>
        <w:t xml:space="preserve">Adopt ACP as a voluntary internal standard</w:t>
      </w:r>
    </w:p>
    <w:p>
      <w:pPr>
        <w:pStyle w:val="ListParagraph"/>
        <w:numPr>
          <w:ilvl w:val="0"/>
          <w:numId w:val="2"/>
        </w:numPr>
        <w:spacing w:after="60"/>
      </w:pPr>
      <w:r>
        <w:rPr>
          <w:rFonts w:ascii="Arial" w:cs="Arial" w:eastAsia="Arial" w:hAnsi="Arial"/>
          <w:sz w:val="20"/>
          <w:szCs w:val="20"/>
        </w:rPr>
        <w:t xml:space="preserve">Test the system in a real-world context and provide feedback</w:t>
      </w:r>
    </w:p>
    <w:p>
      <w:pPr>
        <w:pStyle w:val="ListParagraph"/>
        <w:numPr>
          <w:ilvl w:val="0"/>
          <w:numId w:val="2"/>
        </w:numPr>
        <w:spacing w:after="60"/>
      </w:pPr>
      <w:r>
        <w:rPr>
          <w:rFonts w:ascii="Arial" w:cs="Arial" w:eastAsia="Arial" w:hAnsi="Arial"/>
          <w:sz w:val="20"/>
          <w:szCs w:val="20"/>
        </w:rPr>
        <w:t xml:space="preserve">Be cited as early adopters in the definitive whitepaper</w:t>
      </w:r>
    </w:p>
    <w:p>
      <w:r>
        <w:t xml:space="preserve"/>
      </w:r>
    </w:p>
    <w:p>
      <w:pPr>
        <w:spacing w:after="120"/>
      </w:pPr>
      <w:r>
        <w:rPr>
          <w:rFonts w:ascii="Arial" w:cs="Arial" w:eastAsia="Arial" w:hAnsi="Arial"/>
          <w:sz w:val="20"/>
          <w:szCs w:val="20"/>
        </w:rPr>
        <w:t xml:space="preserve">The pilot does not require publication of operational data — only willingness to test the technical workflow.</w:t>
      </w:r>
    </w:p>
    <w:p>
      <w:r>
        <w:t xml:space="preserve"/>
      </w:r>
    </w:p>
    <w:p>
      <w:pPr>
        <w:pStyle w:val="Heading1"/>
      </w:pPr>
      <w:r>
        <w:rPr>
          <w:rFonts w:ascii="Arial" w:cs="Arial" w:eastAsia="Arial" w:hAnsi="Arial"/>
          <w:b/>
          <w:bCs/>
          <w:color w:val="2E3A59"/>
          <w:sz w:val="32"/>
          <w:szCs w:val="32"/>
        </w:rPr>
        <w:t xml:space="preserve">Contacts</w:t>
      </w:r>
    </w:p>
    <w:p>
      <w:pPr>
        <w:spacing w:after="120"/>
      </w:pPr>
      <w:r>
        <w:rPr>
          <w:rFonts w:ascii="Arial" w:cs="Arial" w:eastAsia="Arial" w:hAnsi="Arial"/>
          <w:sz w:val="20"/>
          <w:szCs w:val="20"/>
        </w:rPr>
        <w:t xml:space="preserve">GitHub: github.com/LedgerStone/decision-flow-ledger</w:t>
      </w:r>
    </w:p>
    <w:p>
      <w:pPr>
        <w:spacing w:after="120"/>
      </w:pPr>
      <w:r>
        <w:rPr>
          <w:rFonts w:ascii="Arial" w:cs="Arial" w:eastAsia="Arial" w:hAnsi="Arial"/>
          <w:sz w:val="20"/>
          <w:szCs w:val="20"/>
        </w:rPr>
        <w:t xml:space="preserve">Demo: https://aip-x-dashboard-production.up.railway.app</w:t>
      </w:r>
    </w:p>
    <w:p>
      <w:r>
        <w:t xml:space="preserve"/>
      </w:r>
    </w:p>
    <w:p>
      <w:pPr>
        <w:pBdr>
          <w:top w:val="single" w:color="CCCCCC" w:sz="6" w:space="4"/>
        </w:pBdr>
        <w:spacing w:before="200"/>
      </w:pPr>
      <w:r>
        <w:rPr>
          <w:rFonts w:ascii="Arial" w:cs="Arial" w:eastAsia="Arial" w:hAnsi="Arial"/>
          <w:color w:val="888888"/>
          <w:sz w:val="18"/>
          <w:szCs w:val="18"/>
        </w:rPr>
        <w:t xml:space="preserve">Version 0.1 — Draft — March 2026 — Not intended for public distribution without review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3A5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3A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2026-03-14T09:51:05.088Z</dcterms:created>
  <dcterms:modified xsi:type="dcterms:W3CDTF">2026-03-14T09:51:05.089Z</dcterms:modified>
</cp:coreProperties>
</file>

<file path=docProps/custom.xml><?xml version="1.0" encoding="utf-8"?>
<Properties xmlns="http://schemas.openxmlformats.org/officeDocument/2006/custom-properties" xmlns:vt="http://schemas.openxmlformats.org/officeDocument/2006/docPropsVTypes"/>
</file>