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b/>
          <w:bCs/>
          <w:color w:val="1A5C2A"/>
          <w:sz w:val="96"/>
          <w:szCs w:val="96"/>
        </w:rPr>
        <w:t xml:space="preserve">AIP-X</w:t>
      </w:r>
    </w:p>
    <w:p>
      <w:pPr>
        <w:spacing w:after="200" w:before="0"/>
        <w:jc w:val="center"/>
      </w:pPr>
      <w:r>
        <w:rPr>
          <w:color w:val="444444"/>
          <w:sz w:val="40"/>
          <w:szCs w:val="40"/>
        </w:rPr>
        <w:t xml:space="preserve">Accountable Intelligence Platform</w:t>
      </w:r>
    </w:p>
    <w:p>
      <w:pPr>
        <w:pBdr>
          <w:bottom w:val="single" w:color="CCCCCC" w:sz="4" w:space="1"/>
        </w:pBdr>
        <w:spacing w:after="200" w:before="200"/>
      </w:pPr>
    </w:p>
    <w:p>
      <w:pPr>
        <w:spacing w:after="80" w:before="200"/>
        <w:jc w:val="center"/>
      </w:pPr>
      <w:r>
        <w:rPr>
          <w:b/>
          <w:bCs/>
          <w:color w:val="222222"/>
          <w:sz w:val="52"/>
          <w:szCs w:val="52"/>
        </w:rPr>
        <w:t xml:space="preserve">AIP-X Certification Protocol</w:t>
      </w:r>
    </w:p>
    <w:p>
      <w:pPr>
        <w:spacing w:after="400" w:before="0"/>
        <w:jc w:val="center"/>
      </w:pPr>
      <w:r>
        <w:rPr>
          <w:i/>
          <w:iCs/>
          <w:color w:val="555555"/>
          <w:sz w:val="28"/>
          <w:szCs w:val="28"/>
        </w:rPr>
        <w:t xml:space="preserve">Una proposta tecnica per la certificazione on-chain delle decisioni AI</w:t>
      </w:r>
    </w:p>
    <w:p>
      <w:pPr>
        <w:spacing w:after="80" w:before="600"/>
        <w:jc w:val="center"/>
      </w:pPr>
      <w:r>
        <w:rPr>
          <w:color w:val="888888"/>
          <w:sz w:val="22"/>
          <w:szCs w:val="22"/>
        </w:rPr>
        <w:t xml:space="preserve">Versione 0.1 — Bozza per Discussione</w:t>
      </w:r>
    </w:p>
    <w:p>
      <w:pPr>
        <w:spacing w:after="80" w:before="0"/>
        <w:jc w:val="center"/>
      </w:pPr>
      <w:r>
        <w:rPr>
          <w:color w:val="888888"/>
          <w:sz w:val="22"/>
          <w:szCs w:val="22"/>
        </w:rPr>
        <w:t xml:space="preserve">Marzo 2026 — LedgerStone / AIP-X Project</w:t>
      </w:r>
    </w:p>
    <w:p>
      <w:pPr>
        <w:spacing w:after="0" w:before="0"/>
        <w:jc w:val="center"/>
      </w:pPr>
      <w:r>
        <w:rPr>
          <w:i/>
          <w:iCs/>
          <w:color w:val="AA0000"/>
          <w:sz w:val="18"/>
          <w:szCs w:val="18"/>
        </w:rPr>
        <w:t xml:space="preserve">Questo documento e' una bozza esplorativa. Non costituisce standard certificato ne' dichiarazione di conformita' normativa.</w:t>
      </w:r>
    </w:p>
    <w:p>
      <w:r>
        <w:br w:type="page"/>
      </w:r>
    </w:p>
    <w:p>
      <w:pPr>
        <w:pStyle w:val="Heading1"/>
        <w:spacing w:after="200" w:before="400"/>
      </w:pPr>
      <w:r>
        <w:rPr>
          <w:b/>
          <w:bCs/>
          <w:color w:val="1A5C2A"/>
          <w:sz w:val="36"/>
          <w:szCs w:val="36"/>
        </w:rPr>
        <w:t xml:space="preserve">Executive Summary</w:t>
      </w:r>
    </w:p>
    <w:p>
      <w:pPr>
        <w:spacing w:after="140" w:before="100"/>
      </w:pPr>
      <w:r>
        <w:rPr>
          <w:color w:val="222222"/>
          <w:sz w:val="22"/>
          <w:szCs w:val="22"/>
        </w:rPr>
        <w:t xml:space="preserve">Il problema centrale della governance AI non e' tecnico: e' politico e giuridico. Sistemi come Palantir, Clearview AI e altri strumenti di analisi dati operano oggi senza un obbligo tecnico di tracciabilita' verificabile da terze parti. Le ricerche vengono eseguite, i dati analizzati, le decisioni prese — ma i log rimangono sotto il controllo esclusivo dell'operatore.</w:t>
      </w:r>
    </w:p>
    <w:p>
      <w:pPr>
        <w:spacing w:after="140" w:before="100"/>
      </w:pPr>
      <w:r>
        <w:rPr>
          <w:color w:val="222222"/>
          <w:sz w:val="22"/>
          <w:szCs w:val="22"/>
        </w:rPr>
        <w:t xml:space="preserve">L'EU AI Act, entrato in vigore ad agosto 2024 con obblighi progressivi per i sistemi ad alto rischio a partire da agosto 2026, impone requisiti di tracciabilita' e documentazione. Tuttavia non definisce uno standard tecnico vincolante su COME questa tracciabilita' debba essere implementata, custodita e verificata da soggetti indipendenti.</w:t>
      </w:r>
    </w:p>
    <w:p>
      <w:pPr>
        <w:spacing w:after="140" w:before="100"/>
      </w:pPr>
      <w:r>
        <w:rPr>
          <w:color w:val="222222"/>
          <w:sz w:val="22"/>
          <w:szCs w:val="22"/>
        </w:rPr>
        <w:t xml:space="preserve">AIP-X Certification Protocol (ACP) e' una proposta tecnica per colmare questo vuoto: uno standard aperto che definisce come ogni operazione AI — incluse quelle con risultato nullo — possa essere registrata in modo immutabile, resa verificabile da enti terzi, e mantenuta crittograficamente privata.</w:t>
      </w:r>
    </w:p>
    <w:p>
      <w:pPr>
        <w:spacing w:after="140" w:before="100"/>
      </w:pPr>
      <w:r>
        <w:rPr>
          <w:i/>
          <w:iCs/>
          <w:color w:val="666666"/>
          <w:sz w:val="20"/>
          <w:szCs w:val="20"/>
        </w:rPr>
        <w:t xml:space="preserve">Questo documento e' una bozza esplorativa (v0.1). L'obiettivo e' avviare una discussione tecnica e istituzionale con potenziali partner, autorita' garanti e investitori. ACP non e' ancora uno standard riconosciuto ne' un prodotto certificato.</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5C2A" w:val="clear"/>
            <w:tcMar>
              <w:top w:type="dxa" w:w="120"/>
              <w:left w:type="dxa" w:w="160"/>
              <w:bottom w:type="dxa" w:w="120"/>
              <w:right w:type="dxa" w:w="160"/>
            </w:tcMar>
          </w:tcPr>
          <w:p>
            <w:r>
              <w:rPr>
                <w:b/>
                <w:bCs/>
                <w:color w:val="FFFFFF"/>
                <w:sz w:val="20"/>
                <w:szCs w:val="20"/>
              </w:rPr>
              <w:t xml:space="preserve">Problema</w:t>
            </w:r>
          </w:p>
        </w:tc>
        <w:tc>
          <w:tcPr>
            <w:tcW w:type="dxa" w:w="7960"/>
            <w:tcBorders>
              <w:top w:val="single" w:color="CCCCCC" w:sz="1"/>
              <w:left w:val="single" w:color="CCCCCC" w:sz="1"/>
              <w:bottom w:val="single" w:color="CCCCCC" w:sz="1"/>
              <w:right w:val="single" w:color="CCCCCC" w:sz="1"/>
            </w:tcBorders>
            <w:shd w:fill="F1F8F2" w:val="clear"/>
            <w:tcMar>
              <w:top w:type="dxa" w:w="120"/>
              <w:left w:type="dxa" w:w="200"/>
              <w:bottom w:type="dxa" w:w="120"/>
              <w:right w:type="dxa" w:w="160"/>
            </w:tcMar>
          </w:tcPr>
          <w:p>
            <w:r>
              <w:rPr>
                <w:color w:val="222222"/>
                <w:sz w:val="20"/>
                <w:szCs w:val="20"/>
              </w:rPr>
              <w:t xml:space="preserve">I sistemi AI ad alto rischio non hanno oggi un obbligo tecnico di tracciabilita' immutabile verificabile da terze parti. I log esistono, ma sono controllati dall'operatore stesso.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5C2A" w:val="clear"/>
            <w:tcMar>
              <w:top w:type="dxa" w:w="120"/>
              <w:left w:type="dxa" w:w="160"/>
              <w:bottom w:type="dxa" w:w="120"/>
              <w:right w:type="dxa" w:w="160"/>
            </w:tcMar>
          </w:tcPr>
          <w:p>
            <w:r>
              <w:rPr>
                <w:b/>
                <w:bCs/>
                <w:color w:val="FFFFFF"/>
                <w:sz w:val="20"/>
                <w:szCs w:val="20"/>
              </w:rPr>
              <w:t xml:space="preserve">Proposta</w:t>
            </w:r>
          </w:p>
        </w:tc>
        <w:tc>
          <w:tcPr>
            <w:tcW w:type="dxa" w:w="7960"/>
            <w:tcBorders>
              <w:top w:val="single" w:color="CCCCCC" w:sz="1"/>
              <w:left w:val="single" w:color="CCCCCC" w:sz="1"/>
              <w:bottom w:val="single" w:color="CCCCCC" w:sz="1"/>
              <w:right w:val="single" w:color="CCCCCC" w:sz="1"/>
            </w:tcBorders>
            <w:shd w:fill="F1F8F2" w:val="clear"/>
            <w:tcMar>
              <w:top w:type="dxa" w:w="120"/>
              <w:left w:type="dxa" w:w="200"/>
              <w:bottom w:type="dxa" w:w="120"/>
              <w:right w:type="dxa" w:w="160"/>
            </w:tcMar>
          </w:tcPr>
          <w:p>
            <w:r>
              <w:rPr>
                <w:color w:val="222222"/>
                <w:sz w:val="20"/>
                <w:szCs w:val="20"/>
              </w:rPr>
              <w:t xml:space="preserve">Definire uno standard tecnico aperto che renda crittograficamente impossibile alterare la storia delle operazioni AI, con audit selettivi da parte di enti terzi autorizzati.</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5C2A" w:val="clear"/>
            <w:tcMar>
              <w:top w:type="dxa" w:w="120"/>
              <w:left w:type="dxa" w:w="160"/>
              <w:bottom w:type="dxa" w:w="120"/>
              <w:right w:type="dxa" w:w="160"/>
            </w:tcMar>
          </w:tcPr>
          <w:p>
            <w:r>
              <w:rPr>
                <w:b/>
                <w:bCs/>
                <w:color w:val="FFFFFF"/>
                <w:sz w:val="20"/>
                <w:szCs w:val="20"/>
              </w:rPr>
              <w:t xml:space="preserve">Stato attuale</w:t>
            </w:r>
          </w:p>
        </w:tc>
        <w:tc>
          <w:tcPr>
            <w:tcW w:type="dxa" w:w="7960"/>
            <w:tcBorders>
              <w:top w:val="single" w:color="CCCCCC" w:sz="1"/>
              <w:left w:val="single" w:color="CCCCCC" w:sz="1"/>
              <w:bottom w:val="single" w:color="CCCCCC" w:sz="1"/>
              <w:right w:val="single" w:color="CCCCCC" w:sz="1"/>
            </w:tcBorders>
            <w:shd w:fill="F1F8F2" w:val="clear"/>
            <w:tcMar>
              <w:top w:type="dxa" w:w="120"/>
              <w:left w:type="dxa" w:w="200"/>
              <w:bottom w:type="dxa" w:w="120"/>
              <w:right w:type="dxa" w:w="160"/>
            </w:tcMar>
          </w:tcPr>
          <w:p>
            <w:r>
              <w:rPr>
                <w:color w:val="222222"/>
                <w:sz w:val="20"/>
                <w:szCs w:val="20"/>
              </w:rPr>
              <w:t xml:space="preserve">MVP funzionante e open source. Proposta di standard in fase di elaborazione. Nessun ente certificatore coinvolto al momento. In ricerca di partner istituzionali.</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AA6600" w:val="clear"/>
            <w:tcMar>
              <w:top w:type="dxa" w:w="120"/>
              <w:left w:type="dxa" w:w="160"/>
              <w:bottom w:type="dxa" w:w="120"/>
              <w:right w:type="dxa" w:w="160"/>
            </w:tcMar>
          </w:tcPr>
          <w:p>
            <w:r>
              <w:rPr>
                <w:b/>
                <w:bCs/>
                <w:color w:val="FFFFFF"/>
                <w:sz w:val="20"/>
                <w:szCs w:val="20"/>
              </w:rPr>
              <w:t xml:space="preserve">Nota legale</w:t>
            </w:r>
          </w:p>
        </w:tc>
        <w:tc>
          <w:tcPr>
            <w:tcW w:type="dxa" w:w="7960"/>
            <w:tcBorders>
              <w:top w:val="single" w:color="CCCCCC" w:sz="1"/>
              <w:left w:val="single" w:color="CCCCCC" w:sz="1"/>
              <w:bottom w:val="single" w:color="CCCCCC" w:sz="1"/>
              <w:right w:val="single" w:color="CCCCCC" w:sz="1"/>
            </w:tcBorders>
            <w:shd w:fill="F1F8F2" w:val="clear"/>
            <w:tcMar>
              <w:top w:type="dxa" w:w="120"/>
              <w:left w:type="dxa" w:w="200"/>
              <w:bottom w:type="dxa" w:w="120"/>
              <w:right w:type="dxa" w:w="160"/>
            </w:tcMar>
          </w:tcPr>
          <w:p>
            <w:r>
              <w:rPr>
                <w:color w:val="222222"/>
                <w:sz w:val="20"/>
                <w:szCs w:val="20"/>
              </w:rPr>
              <w:t xml:space="preserve">ACP non costituisce garanzia di conformita' all'EU AI Act, al GDPR o ad altri regolamenti. La valutazione di conformita' spetta a soggetti qualificati.</w:t>
            </w:r>
          </w:p>
        </w:tc>
      </w:tr>
    </w:tbl>
    <w:p>
      <w:r>
        <w:br w:type="page"/>
      </w:r>
    </w:p>
    <w:p>
      <w:pPr>
        <w:pStyle w:val="Heading1"/>
        <w:spacing w:after="200" w:before="400"/>
      </w:pPr>
      <w:r>
        <w:rPr>
          <w:b/>
          <w:bCs/>
          <w:color w:val="1A5C2A"/>
          <w:sz w:val="36"/>
          <w:szCs w:val="36"/>
        </w:rPr>
        <w:t xml:space="preserve">1. Perche' Ora: Il Momento del Mercato</w:t>
      </w:r>
    </w:p>
    <w:p>
      <w:pPr>
        <w:pStyle w:val="Heading2"/>
        <w:spacing w:after="160" w:before="300"/>
      </w:pPr>
      <w:r>
        <w:rPr>
          <w:b/>
          <w:bCs/>
          <w:color w:val="2E7D32"/>
          <w:sz w:val="28"/>
          <w:szCs w:val="28"/>
        </w:rPr>
        <w:t xml:space="preserve">1.1 Il mercato AI governance sta esplodendo</w:t>
      </w:r>
    </w:p>
    <w:p>
      <w:pPr>
        <w:spacing w:after="140" w:before="100"/>
      </w:pPr>
      <w:r>
        <w:rPr>
          <w:color w:val="222222"/>
          <w:sz w:val="22"/>
          <w:szCs w:val="22"/>
        </w:rPr>
        <w:t xml:space="preserve">Il mercato globale degli strumenti di AI governance era valutato circa 228 milioni di dollari nel 2024. Le stime di crescita variano ma convergono su un CAGR tra il 35% e il 49% fino al 2030-2034, con proiezioni che lo portano tra 1,4 e 6,6 miliardi di dollari entro quella data. Gartner stima una spesa specifica per piattaforme di AI governance di 492 milioni di dollari nel 2026, superando il miliardo entro il 2030.</w:t>
      </w:r>
    </w:p>
    <w:p>
      <w:pPr>
        <w:spacing w:after="140" w:before="100"/>
      </w:pPr>
      <w:r>
        <w:rPr>
          <w:color w:val="222222"/>
          <w:sz w:val="22"/>
          <w:szCs w:val="22"/>
        </w:rPr>
        <w:t xml:space="preserve">Questa crescita non e' speculativa: e' guidata da obblighi normativi concreti con scadenze definite.</w:t>
      </w:r>
    </w:p>
    <w:p>
      <w:pPr>
        <w:pStyle w:val="Heading2"/>
        <w:spacing w:after="160" w:before="300"/>
      </w:pPr>
      <w:r>
        <w:rPr>
          <w:b/>
          <w:bCs/>
          <w:color w:val="2E7D32"/>
          <w:sz w:val="28"/>
          <w:szCs w:val="28"/>
        </w:rPr>
        <w:t xml:space="preserve">1.2 Le scadenze dell'EU AI Act creano urgenza reale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b/>
                <w:bCs/>
                <w:color w:val="FFFFFF"/>
                <w:sz w:val="20"/>
                <w:szCs w:val="20"/>
              </w:rPr>
              <w:t xml:space="preserve">Data</w:t>
            </w:r>
          </w:p>
        </w:tc>
        <w:tc>
          <w:tcPr>
            <w:tcW w:type="dxa" w:w="6160"/>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b/>
                <w:bCs/>
                <w:color w:val="FFFFFF"/>
                <w:sz w:val="20"/>
                <w:szCs w:val="20"/>
              </w:rPr>
              <w:t xml:space="preserve">Milestone</w:t>
            </w:r>
          </w:p>
        </w:tc>
      </w:tr>
      <w:tr>
        <w:tc>
          <w:tcPr>
            <w:tcW w:type="dxa" w:w="320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b/>
                <w:bCs/>
                <w:color w:val="1A5C2A"/>
                <w:sz w:val="20"/>
                <w:szCs w:val="20"/>
              </w:rPr>
              <w:t xml:space="preserve">1 agosto 2024</w:t>
            </w:r>
          </w:p>
        </w:tc>
        <w:tc>
          <w:tcPr>
            <w:tcW w:type="dxa" w:w="616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color w:val="222222"/>
                <w:sz w:val="20"/>
                <w:szCs w:val="20"/>
              </w:rPr>
              <w:t xml:space="preserve">EU AI Act entra in vigore.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bCs/>
                <w:color w:val="1A5C2A"/>
                <w:sz w:val="20"/>
                <w:szCs w:val="20"/>
              </w:rPr>
              <w:t xml:space="preserve">2 febbraio 2025</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222222"/>
                <w:sz w:val="20"/>
                <w:szCs w:val="20"/>
              </w:rPr>
              <w:t xml:space="preserve">Divieti su pratiche AI proibite (manipolazione, social scoring) diventano applicabili.</w:t>
            </w:r>
          </w:p>
        </w:tc>
      </w:tr>
      <w:tr>
        <w:tc>
          <w:tcPr>
            <w:tcW w:type="dxa" w:w="320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b/>
                <w:bCs/>
                <w:color w:val="1A5C2A"/>
                <w:sz w:val="20"/>
                <w:szCs w:val="20"/>
              </w:rPr>
              <w:t xml:space="preserve">2 agosto 2025</w:t>
            </w:r>
          </w:p>
        </w:tc>
        <w:tc>
          <w:tcPr>
            <w:tcW w:type="dxa" w:w="616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color w:val="222222"/>
                <w:sz w:val="20"/>
                <w:szCs w:val="20"/>
              </w:rPr>
              <w:t xml:space="preserve">Governance istituzionale operativa: AI Office, AI Board, autorita' nazionali. Obblighi per i modelli GPAI.</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bCs/>
                <w:color w:val="1A5C2A"/>
                <w:sz w:val="20"/>
                <w:szCs w:val="20"/>
              </w:rPr>
              <w:t xml:space="preserve">2 agosto 2026</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222222"/>
                <w:sz w:val="20"/>
                <w:szCs w:val="20"/>
              </w:rPr>
              <w:t xml:space="preserve">Applicazione completa del framework per la maggior parte dei sistemi ad alto rischio.</w:t>
            </w:r>
          </w:p>
        </w:tc>
      </w:tr>
      <w:tr>
        <w:tc>
          <w:tcPr>
            <w:tcW w:type="dxa" w:w="320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b/>
                <w:bCs/>
                <w:color w:val="1A5C2A"/>
                <w:sz w:val="20"/>
                <w:szCs w:val="20"/>
              </w:rPr>
              <w:t xml:space="preserve">2 agosto 2027</w:t>
            </w:r>
          </w:p>
        </w:tc>
        <w:tc>
          <w:tcPr>
            <w:tcW w:type="dxa" w:w="616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color w:val="222222"/>
                <w:sz w:val="20"/>
                <w:szCs w:val="20"/>
              </w:rPr>
              <w:t xml:space="preserve">Scadenza estesa per sistemi ad alto rischio integrati in prodotti regolamentati (dispositivi medici, veicoli).</w:t>
            </w:r>
          </w:p>
        </w:tc>
      </w:tr>
    </w:tbl>
    <w:p>
      <w:pPr>
        <w:spacing w:after="0" w:before="120"/>
      </w:pPr>
    </w:p>
    <w:p>
      <w:pPr>
        <w:spacing w:after="140" w:before="100"/>
      </w:pPr>
      <w:r>
        <w:rPr>
          <w:color w:val="222222"/>
          <w:sz w:val="22"/>
          <w:szCs w:val="22"/>
        </w:rPr>
        <w:t xml:space="preserve">In settembre 2024, oltre 100 aziende hanno aderito volontariamente all'AI Pact della Commissione Europea, impegnandosi a prepararsi in anticipo alla compliance. Il segnale e' chiaro: il mercato si sta muovendo prima delle scadenze obbligatorie.</w:t>
      </w:r>
    </w:p>
    <w:p>
      <w:pPr>
        <w:pStyle w:val="Heading2"/>
        <w:spacing w:after="160" w:before="300"/>
      </w:pPr>
      <w:r>
        <w:rPr>
          <w:b/>
          <w:bCs/>
          <w:color w:val="2E7D32"/>
          <w:sz w:val="28"/>
          <w:szCs w:val="28"/>
        </w:rPr>
        <w:t xml:space="preserve">1.3 Il gap che nessuno ha ancora risolto</w:t>
      </w:r>
    </w:p>
    <w:p>
      <w:pPr>
        <w:spacing w:after="140" w:before="100"/>
      </w:pPr>
      <w:r>
        <w:rPr>
          <w:color w:val="222222"/>
          <w:sz w:val="22"/>
          <w:szCs w:val="22"/>
        </w:rPr>
        <w:t xml:space="preserve">Nonostante la crescita del mercato, nessuno degli strumenti esistenti affronta il problema specifico che ACP vuole risolvere: la verificabilita' esterna dell'integrita' dei log. Le piattaforme di governance esistenti (IBM watsonx.governance, OneTrust AI Governance, Microsoft Responsible AI Standard) si concentrano su risk assessment, bias detection e documentazione interna — ma i log restano sotto il controllo dell'operatore e non sono verificabili da terze parti in modo crittograficamente sicuro.</w:t>
      </w:r>
    </w:p>
    <w:p>
      <w:r>
        <w:br w:type="page"/>
      </w:r>
    </w:p>
    <w:p>
      <w:pPr>
        <w:pStyle w:val="Heading1"/>
        <w:spacing w:after="200" w:before="400"/>
      </w:pPr>
      <w:r>
        <w:rPr>
          <w:b/>
          <w:bCs/>
          <w:color w:val="1A5C2A"/>
          <w:sz w:val="36"/>
          <w:szCs w:val="36"/>
        </w:rPr>
        <w:t xml:space="preserve">2. Il Problema: L'Accountability Gap nell'AI</w:t>
      </w:r>
    </w:p>
    <w:p>
      <w:pPr>
        <w:pStyle w:val="Heading2"/>
        <w:spacing w:after="160" w:before="300"/>
      </w:pPr>
      <w:r>
        <w:rPr>
          <w:b/>
          <w:bCs/>
          <w:color w:val="2E7D32"/>
          <w:sz w:val="28"/>
          <w:szCs w:val="28"/>
        </w:rPr>
        <w:t xml:space="preserve">2.1 Lo scenario attuale</w:t>
      </w:r>
    </w:p>
    <w:p>
      <w:pPr>
        <w:spacing w:after="140" w:before="100"/>
      </w:pPr>
      <w:r>
        <w:rPr>
          <w:color w:val="222222"/>
          <w:sz w:val="22"/>
          <w:szCs w:val="22"/>
        </w:rPr>
        <w:t xml:space="preserve">Oggi un'azienda che utilizza sistemi AI per analisi di dati su individui puo':</w:t>
      </w:r>
    </w:p>
    <w:p>
      <w:pPr>
        <w:pStyle w:val="ListParagraph"/>
        <w:numPr>
          <w:ilvl w:val="0"/>
          <w:numId w:val="2"/>
        </w:numPr>
        <w:spacing w:after="60" w:before="60"/>
      </w:pPr>
      <w:r>
        <w:rPr>
          <w:color w:val="222222"/>
          <w:sz w:val="22"/>
          <w:szCs w:val="22"/>
        </w:rPr>
        <w:t xml:space="preserve">Eseguire una ricerca su un cittadino</w:t>
      </w:r>
    </w:p>
    <w:p>
      <w:pPr>
        <w:pStyle w:val="ListParagraph"/>
        <w:numPr>
          <w:ilvl w:val="0"/>
          <w:numId w:val="2"/>
        </w:numPr>
        <w:spacing w:after="60" w:before="60"/>
      </w:pPr>
      <w:r>
        <w:rPr>
          <w:color w:val="222222"/>
          <w:sz w:val="22"/>
          <w:szCs w:val="22"/>
        </w:rPr>
        <w:t xml:space="preserve">Non trovare nulla di rilevante</w:t>
      </w:r>
    </w:p>
    <w:p>
      <w:pPr>
        <w:pStyle w:val="ListParagraph"/>
        <w:numPr>
          <w:ilvl w:val="0"/>
          <w:numId w:val="2"/>
        </w:numPr>
        <w:spacing w:after="60" w:before="60"/>
      </w:pPr>
      <w:r>
        <w:rPr>
          <w:color w:val="222222"/>
          <w:sz w:val="22"/>
          <w:szCs w:val="22"/>
        </w:rPr>
        <w:t xml:space="preserve">Non avere l'obbligo tecnico di registrare che quella ricerca e' avvenuta</w:t>
      </w:r>
    </w:p>
    <w:p>
      <w:pPr>
        <w:pStyle w:val="ListParagraph"/>
        <w:numPr>
          <w:ilvl w:val="0"/>
          <w:numId w:val="2"/>
        </w:numPr>
        <w:spacing w:after="60" w:before="60"/>
      </w:pPr>
      <w:r>
        <w:rPr>
          <w:color w:val="222222"/>
          <w:sz w:val="22"/>
          <w:szCs w:val="22"/>
        </w:rPr>
        <w:t xml:space="preserve">Gestire i propri log interni senza supervisione esterna verificabile</w:t>
      </w:r>
    </w:p>
    <w:p>
      <w:pPr>
        <w:spacing w:after="0" w:before="80"/>
      </w:pPr>
    </w:p>
    <w:p>
      <w:pPr>
        <w:spacing w:after="140" w:before="100"/>
      </w:pPr>
      <w:r>
        <w:rPr>
          <w:color w:val="222222"/>
          <w:sz w:val="22"/>
          <w:szCs w:val="22"/>
        </w:rPr>
        <w:t xml:space="preserve">Nessun giudice, nessuna autorita' garante, nessun parlamento dispone oggi di uno strumento tecnico per verificare in modo indipendente quante ricerche sono state condotte su un individuo, con quale frequenza, da chi e con quale motivazione.</w:t>
      </w:r>
    </w:p>
    <w:p>
      <w:pPr>
        <w:pStyle w:val="Heading2"/>
        <w:spacing w:after="160" w:before="300"/>
      </w:pPr>
      <w:r>
        <w:rPr>
          <w:b/>
          <w:bCs/>
          <w:color w:val="2E7D32"/>
          <w:sz w:val="28"/>
          <w:szCs w:val="28"/>
        </w:rPr>
        <w:t xml:space="preserve">2.2 Le operazioni omesse sono invisibili</w:t>
      </w:r>
    </w:p>
    <w:p>
      <w:pPr>
        <w:spacing w:after="140" w:before="100"/>
      </w:pPr>
      <w:r>
        <w:rPr>
          <w:color w:val="222222"/>
          <w:sz w:val="22"/>
          <w:szCs w:val="22"/>
        </w:rPr>
        <w:t xml:space="preserve">Le operazioni che non producono risultati non lasciano traccia nei sistemi tradizionali. Se un sistema AI viene interrogato su un individuo e la ricerca non produce nulla, questa operazione — che costituisce comunque un accesso a dati personali — e' di fatto invisibile.</w:t>
      </w:r>
    </w:p>
    <w:p>
      <w:pPr>
        <w:spacing w:after="140" w:before="100"/>
      </w:pPr>
      <w:r>
        <w:rPr>
          <w:color w:val="222222"/>
          <w:sz w:val="22"/>
          <w:szCs w:val="22"/>
        </w:rPr>
        <w:t xml:space="preserve">ACP introduce il principio che ogni operazione, indipendentemente dal risultato, debba essere registrata. La presenza nel registro e' separata dal contenuto dell'esito.</w:t>
      </w:r>
    </w:p>
    <w:p>
      <w:pPr>
        <w:pStyle w:val="Heading2"/>
        <w:spacing w:after="160" w:before="300"/>
      </w:pPr>
      <w:r>
        <w:rPr>
          <w:b/>
          <w:bCs/>
          <w:color w:val="2E7D32"/>
          <w:sz w:val="28"/>
          <w:szCs w:val="28"/>
        </w:rPr>
        <w:t xml:space="preserve">2.3 Il contesto normativo attuale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b/>
                <w:bCs/>
                <w:color w:val="FFFFFF"/>
                <w:sz w:val="20"/>
                <w:szCs w:val="20"/>
              </w:rPr>
              <w:t xml:space="preserve">Componente</w:t>
            </w:r>
          </w:p>
        </w:tc>
        <w:tc>
          <w:tcPr>
            <w:tcW w:type="dxa" w:w="6160"/>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b/>
                <w:bCs/>
                <w:color w:val="FFFFFF"/>
                <w:sz w:val="20"/>
                <w:szCs w:val="20"/>
              </w:rPr>
              <w:t xml:space="preserve">Descrizione</w:t>
            </w:r>
          </w:p>
        </w:tc>
      </w:tr>
      <w:tr>
        <w:tc>
          <w:tcPr>
            <w:tcW w:type="dxa" w:w="320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b/>
                <w:bCs/>
                <w:color w:val="1A5C2A"/>
                <w:sz w:val="20"/>
                <w:szCs w:val="20"/>
              </w:rPr>
              <w:t xml:space="preserve">EU AI Act (2024)</w:t>
            </w:r>
          </w:p>
        </w:tc>
        <w:tc>
          <w:tcPr>
            <w:tcW w:type="dxa" w:w="616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color w:val="222222"/>
                <w:sz w:val="20"/>
                <w:szCs w:val="20"/>
              </w:rPr>
              <w:t xml:space="preserve">Obblighi di tracciabilita' per sistemi ad alto rischio da agosto 2026. Non definisce lo standard tecnico di implementazione ne' il metodo di verifica esterna.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bCs/>
                <w:color w:val="1A5C2A"/>
                <w:sz w:val="20"/>
                <w:szCs w:val="20"/>
              </w:rPr>
              <w:t xml:space="preserve">ISO/IEC 42001:2023</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222222"/>
                <w:sz w:val="20"/>
                <w:szCs w:val="20"/>
              </w:rPr>
              <w:t xml:space="preserve">Standard di gestione AI. Richiede documentazione e governance, ma non impone immutabilita' crittografica dei log.</w:t>
            </w:r>
          </w:p>
        </w:tc>
      </w:tr>
      <w:tr>
        <w:tc>
          <w:tcPr>
            <w:tcW w:type="dxa" w:w="320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b/>
                <w:bCs/>
                <w:color w:val="1A5C2A"/>
                <w:sz w:val="20"/>
                <w:szCs w:val="20"/>
              </w:rPr>
              <w:t xml:space="preserve">GDPR (2018)</w:t>
            </w:r>
          </w:p>
        </w:tc>
        <w:tc>
          <w:tcPr>
            <w:tcW w:type="dxa" w:w="616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color w:val="222222"/>
                <w:sz w:val="20"/>
                <w:szCs w:val="20"/>
              </w:rPr>
              <w:t xml:space="preserve">Impone diritti di accesso ai dati personali, ma non obbliga alla tracciabilita' immutabile delle operazioni di ricerca effettuate su di essi.</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bCs/>
                <w:color w:val="1A5C2A"/>
                <w:sz w:val="20"/>
                <w:szCs w:val="20"/>
              </w:rPr>
              <w:t xml:space="preserve">ACP (proposta)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222222"/>
                <w:sz w:val="20"/>
                <w:szCs w:val="20"/>
              </w:rPr>
              <w:t xml:space="preserve">Standard tecnico in fase di elaborazione. Mira a colmare il gap di verificabilita' esterna che i tre framework sopra non affrontano direttamente.</w:t>
            </w:r>
          </w:p>
        </w:tc>
      </w:tr>
    </w:tbl>
    <w:p>
      <w:r>
        <w:br w:type="page"/>
      </w:r>
    </w:p>
    <w:p>
      <w:pPr>
        <w:pStyle w:val="Heading1"/>
        <w:spacing w:after="200" w:before="400"/>
      </w:pPr>
      <w:r>
        <w:rPr>
          <w:b/>
          <w:bCs/>
          <w:color w:val="1A5C2A"/>
          <w:sz w:val="36"/>
          <w:szCs w:val="36"/>
        </w:rPr>
        <w:t xml:space="preserve">3. Confronto con le Soluzioni Esistenti</w:t>
      </w:r>
    </w:p>
    <w:p>
      <w:pPr>
        <w:pStyle w:val="Heading2"/>
        <w:spacing w:after="160" w:before="300"/>
      </w:pPr>
      <w:r>
        <w:rPr>
          <w:b/>
          <w:bCs/>
          <w:color w:val="2E7D32"/>
          <w:sz w:val="28"/>
          <w:szCs w:val="28"/>
        </w:rPr>
        <w:t xml:space="preserve">3.1 Il mercato attuale</w:t>
      </w:r>
    </w:p>
    <w:p>
      <w:pPr>
        <w:spacing w:after="140" w:before="100"/>
      </w:pPr>
      <w:r>
        <w:rPr>
          <w:color w:val="222222"/>
          <w:sz w:val="22"/>
          <w:szCs w:val="22"/>
        </w:rPr>
        <w:t xml:space="preserve">Il mercato dell'AI governance e' dominato da piattaforme enterprise che affrontano problemi di risk assessment, bias detection e documentazione. I principali attori sono IBM (watsonx.governance), OneTrust (AI Governance), Microsoft (Responsible AI Standard 2.0), Google, SAP e una lunga coda di strumenti specializzati.</w:t>
      </w:r>
    </w:p>
    <w:p>
      <w:pPr>
        <w:pStyle w:val="Heading2"/>
        <w:spacing w:after="160" w:before="300"/>
      </w:pPr>
      <w:r>
        <w:rPr>
          <w:b/>
          <w:bCs/>
          <w:color w:val="2E7D32"/>
          <w:sz w:val="28"/>
          <w:szCs w:val="28"/>
        </w:rPr>
        <w:t xml:space="preserve">3.2 Cosa fanno le soluzioni esistenti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b/>
                <w:bCs/>
                <w:color w:val="FFFFFF"/>
                <w:sz w:val="20"/>
                <w:szCs w:val="20"/>
              </w:rPr>
              <w:t xml:space="preserve">Componente</w:t>
            </w:r>
          </w:p>
        </w:tc>
        <w:tc>
          <w:tcPr>
            <w:tcW w:type="dxa" w:w="6160"/>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b/>
                <w:bCs/>
                <w:color w:val="FFFFFF"/>
                <w:sz w:val="20"/>
                <w:szCs w:val="20"/>
              </w:rPr>
              <w:t xml:space="preserve">Descrizione</w:t>
            </w:r>
          </w:p>
        </w:tc>
      </w:tr>
      <w:tr>
        <w:tc>
          <w:tcPr>
            <w:tcW w:type="dxa" w:w="320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b/>
                <w:bCs/>
                <w:color w:val="1A5C2A"/>
                <w:sz w:val="20"/>
                <w:szCs w:val="20"/>
              </w:rPr>
              <w:t xml:space="preserve">IBM watsonx.governance</w:t>
            </w:r>
          </w:p>
        </w:tc>
        <w:tc>
          <w:tcPr>
            <w:tcW w:type="dxa" w:w="616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color w:val="222222"/>
                <w:sz w:val="20"/>
                <w:szCs w:val="20"/>
              </w:rPr>
              <w:t xml:space="preserve">Inventario modelli AI, risk assessment automatizzato, monitoring bias e drift, integrazione con SageMaker e AWS. Focus: governance interna del ciclo di vita del modello.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bCs/>
                <w:color w:val="1A5C2A"/>
                <w:sz w:val="20"/>
                <w:szCs w:val="20"/>
              </w:rPr>
              <w:t xml:space="preserve">OneTrust AI Governance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222222"/>
                <w:sz w:val="20"/>
                <w:szCs w:val="20"/>
              </w:rPr>
              <w:t xml:space="preserve">Inventory AI systems, valutazione rischi, allineamento a EU AI Act / ISO 42001 / NIST RMF, audit workflow. Focus: compliance documentale e policy enforcement.</w:t>
            </w:r>
          </w:p>
        </w:tc>
      </w:tr>
      <w:tr>
        <w:tc>
          <w:tcPr>
            <w:tcW w:type="dxa" w:w="320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b/>
                <w:bCs/>
                <w:color w:val="1A5C2A"/>
                <w:sz w:val="20"/>
                <w:szCs w:val="20"/>
              </w:rPr>
              <w:t xml:space="preserve">Microsoft Responsible AI</w:t>
            </w:r>
          </w:p>
        </w:tc>
        <w:tc>
          <w:tcPr>
            <w:tcW w:type="dxa" w:w="616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color w:val="222222"/>
                <w:sz w:val="20"/>
                <w:szCs w:val="20"/>
              </w:rPr>
              <w:t xml:space="preserve">Standard 2.0 per pratiche etiche AI, framework interno, embedding governance nelle piattaforme Azure. Focus: standard interni e trasparenza dichiarativa.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bCs/>
                <w:color w:val="1A5C2A"/>
                <w:sz w:val="20"/>
                <w:szCs w:val="20"/>
              </w:rPr>
              <w:t xml:space="preserve">Dataiku Govern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222222"/>
                <w:sz w:val="20"/>
                <w:szCs w:val="20"/>
              </w:rPr>
              <w:t xml:space="preserve">Governance del ciclo di vita ML, documentazione tecnica, conformita' EU AI Act art. 9-15. Focus: operazionalizzazione degli obblighi normativi interni.</w:t>
            </w:r>
          </w:p>
        </w:tc>
      </w:tr>
    </w:tbl>
    <w:p>
      <w:pPr>
        <w:pStyle w:val="Heading2"/>
        <w:spacing w:after="160" w:before="300"/>
      </w:pPr>
      <w:r>
        <w:rPr>
          <w:b/>
          <w:bCs/>
          <w:color w:val="2E7D32"/>
          <w:sz w:val="28"/>
          <w:szCs w:val="28"/>
        </w:rPr>
        <w:t xml:space="preserve">3.3 Il gap che nessuno risolve</w:t>
      </w:r>
    </w:p>
    <w:p>
      <w:pPr>
        <w:spacing w:after="140" w:before="100"/>
      </w:pPr>
      <w:r>
        <w:rPr>
          <w:color w:val="222222"/>
          <w:sz w:val="22"/>
          <w:szCs w:val="22"/>
        </w:rPr>
        <w:t xml:space="preserve">Tutte le soluzioni sopra condividono una caratteristica fondamentale: i log e la documentazione rimangono sotto il controllo dell'operatore. Un auditor esterno deve fidarsi della completezza e integrita' di cio' che l'azienda gli mostra.</w:t>
      </w:r>
    </w:p>
    <w:p>
      <w:pPr>
        <w:spacing w:after="140" w:before="100"/>
      </w:pPr>
      <w:r>
        <w:rPr>
          <w:color w:val="222222"/>
          <w:sz w:val="22"/>
          <w:szCs w:val="22"/>
        </w:rPr>
        <w:t xml:space="preserve">Nessuna di queste piattaforme affronta la domanda: come puo' un ente terzo verificare in modo indipendente che i log non siano stati alterati o che operazioni non siano state cancellate?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5C2A" w:val="clear"/>
            <w:tcMar>
              <w:top w:type="dxa" w:w="120"/>
              <w:left w:type="dxa" w:w="160"/>
              <w:bottom w:type="dxa" w:w="120"/>
              <w:right w:type="dxa" w:w="160"/>
            </w:tcMar>
          </w:tcPr>
          <w:p>
            <w:r>
              <w:rPr>
                <w:b/>
                <w:bCs/>
                <w:color w:val="FFFFFF"/>
                <w:sz w:val="20"/>
                <w:szCs w:val="20"/>
              </w:rPr>
              <w:t xml:space="preserve">Il gap di ACP</w:t>
            </w:r>
          </w:p>
        </w:tc>
        <w:tc>
          <w:tcPr>
            <w:tcW w:type="dxa" w:w="7960"/>
            <w:tcBorders>
              <w:top w:val="single" w:color="CCCCCC" w:sz="1"/>
              <w:left w:val="single" w:color="CCCCCC" w:sz="1"/>
              <w:bottom w:val="single" w:color="CCCCCC" w:sz="1"/>
              <w:right w:val="single" w:color="CCCCCC" w:sz="1"/>
            </w:tcBorders>
            <w:shd w:fill="F1F8F2" w:val="clear"/>
            <w:tcMar>
              <w:top w:type="dxa" w:w="120"/>
              <w:left w:type="dxa" w:w="200"/>
              <w:bottom w:type="dxa" w:w="120"/>
              <w:right w:type="dxa" w:w="160"/>
            </w:tcMar>
          </w:tcPr>
          <w:p>
            <w:r>
              <w:rPr>
                <w:color w:val="222222"/>
                <w:sz w:val="20"/>
                <w:szCs w:val="20"/>
              </w:rPr>
              <w:t xml:space="preserve">Verificabilita' esterna crittografica — la capacita' di un ente autorizzato di dimostrare matematicamente l'integrita' del registro senza dover accedere ai contenuti e senza dover fidare dell'operatore.</w:t>
            </w:r>
          </w:p>
        </w:tc>
      </w:tr>
    </w:tbl>
    <w:p>
      <w:r>
        <w:br w:type="page"/>
      </w:r>
    </w:p>
    <w:p>
      <w:pPr>
        <w:pStyle w:val="Heading1"/>
        <w:spacing w:after="200" w:before="400"/>
      </w:pPr>
      <w:r>
        <w:rPr>
          <w:b/>
          <w:bCs/>
          <w:color w:val="1A5C2A"/>
          <w:sz w:val="36"/>
          <w:szCs w:val="36"/>
        </w:rPr>
        <w:t xml:space="preserve">4. La Proposta: AIP-X Certification Protocol</w:t>
      </w:r>
    </w:p>
    <w:p>
      <w:pPr>
        <w:pStyle w:val="Heading2"/>
        <w:spacing w:after="160" w:before="300"/>
      </w:pPr>
      <w:r>
        <w:rPr>
          <w:b/>
          <w:bCs/>
          <w:color w:val="2E7D32"/>
          <w:sz w:val="28"/>
          <w:szCs w:val="28"/>
        </w:rPr>
        <w:t xml:space="preserve">4.1 Principi fondamentali</w:t>
      </w:r>
    </w:p>
    <w:p>
      <w:pPr>
        <w:pStyle w:val="ListParagraph"/>
        <w:numPr>
          <w:ilvl w:val="0"/>
          <w:numId w:val="2"/>
        </w:numPr>
        <w:spacing w:after="60" w:before="60"/>
      </w:pPr>
      <w:r>
        <w:rPr>
          <w:color w:val="222222"/>
          <w:sz w:val="22"/>
          <w:szCs w:val="22"/>
        </w:rPr>
        <w:t xml:space="preserve">Immutabilita': una volta registrata, un'operazione non puo' essere modificata o cancellata</w:t>
      </w:r>
    </w:p>
    <w:p>
      <w:pPr>
        <w:pStyle w:val="ListParagraph"/>
        <w:numPr>
          <w:ilvl w:val="0"/>
          <w:numId w:val="2"/>
        </w:numPr>
        <w:spacing w:after="60" w:before="60"/>
      </w:pPr>
      <w:r>
        <w:rPr>
          <w:color w:val="222222"/>
          <w:sz w:val="22"/>
          <w:szCs w:val="22"/>
        </w:rPr>
        <w:t xml:space="preserve">Completezza: ogni operazione, incluse quelle con risultato nullo, viene registrata</w:t>
      </w:r>
    </w:p>
    <w:p>
      <w:pPr>
        <w:pStyle w:val="ListParagraph"/>
        <w:numPr>
          <w:ilvl w:val="0"/>
          <w:numId w:val="2"/>
        </w:numPr>
        <w:spacing w:after="60" w:before="60"/>
      </w:pPr>
      <w:r>
        <w:rPr>
          <w:color w:val="222222"/>
          <w:sz w:val="22"/>
          <w:szCs w:val="22"/>
        </w:rPr>
        <w:t xml:space="preserve">Privacy selettiva: il contenuto rimane cifrato; solo enti autorizzati possono richiedere audit specifici</w:t>
      </w:r>
    </w:p>
    <w:p>
      <w:pPr>
        <w:pStyle w:val="ListParagraph"/>
        <w:numPr>
          <w:ilvl w:val="0"/>
          <w:numId w:val="2"/>
        </w:numPr>
        <w:spacing w:after="60" w:before="60"/>
      </w:pPr>
      <w:r>
        <w:rPr>
          <w:color w:val="222222"/>
          <w:sz w:val="22"/>
          <w:szCs w:val="22"/>
        </w:rPr>
        <w:t xml:space="preserve">Verificabilita': la correttezza del registro puo' essere dimostrata matematicamente senza rivelare i dati</w:t>
      </w:r>
    </w:p>
    <w:p>
      <w:pPr>
        <w:pStyle w:val="Heading2"/>
        <w:spacing w:after="160" w:before="300"/>
      </w:pPr>
      <w:r>
        <w:rPr>
          <w:b/>
          <w:bCs/>
          <w:color w:val="2E7D32"/>
          <w:sz w:val="28"/>
          <w:szCs w:val="28"/>
        </w:rPr>
        <w:t xml:space="preserve">4.2 Architettura tecnica attuale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b/>
                <w:bCs/>
                <w:color w:val="FFFFFF"/>
                <w:sz w:val="20"/>
                <w:szCs w:val="20"/>
              </w:rPr>
              <w:t xml:space="preserve">Componente</w:t>
            </w:r>
          </w:p>
        </w:tc>
        <w:tc>
          <w:tcPr>
            <w:tcW w:type="dxa" w:w="6160"/>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b/>
                <w:bCs/>
                <w:color w:val="FFFFFF"/>
                <w:sz w:val="20"/>
                <w:szCs w:val="20"/>
              </w:rPr>
              <w:t xml:space="preserve">Descrizione</w:t>
            </w:r>
          </w:p>
        </w:tc>
      </w:tr>
      <w:tr>
        <w:tc>
          <w:tcPr>
            <w:tcW w:type="dxa" w:w="320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b/>
                <w:bCs/>
                <w:color w:val="1A5C2A"/>
                <w:sz w:val="20"/>
                <w:szCs w:val="20"/>
              </w:rPr>
              <w:t xml:space="preserve">Layer 1 — Registro</w:t>
            </w:r>
          </w:p>
        </w:tc>
        <w:tc>
          <w:tcPr>
            <w:tcW w:type="dxa" w:w="616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color w:val="222222"/>
                <w:sz w:val="20"/>
                <w:szCs w:val="20"/>
              </w:rPr>
              <w:t xml:space="preserve">Ogni operazione hashata con SHA-256 al momento dell'esecuzione, aggiunta a un ledger append-only in PostgreSQL.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bCs/>
                <w:color w:val="1A5C2A"/>
                <w:sz w:val="20"/>
                <w:szCs w:val="20"/>
              </w:rPr>
              <w:t xml:space="preserve">Layer 2 — Blockchain privata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222222"/>
                <w:sz w:val="20"/>
                <w:szCs w:val="20"/>
              </w:rPr>
              <w:t xml:space="preserve">Blocchi concatenati con proof-of-work (difficolta' configurabile). Blockchain privata, non decentralizzata.</w:t>
            </w:r>
          </w:p>
        </w:tc>
      </w:tr>
      <w:tr>
        <w:tc>
          <w:tcPr>
            <w:tcW w:type="dxa" w:w="320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b/>
                <w:bCs/>
                <w:color w:val="1A5C2A"/>
                <w:sz w:val="20"/>
                <w:szCs w:val="20"/>
              </w:rPr>
              <w:t xml:space="preserve">Layer 3 — Hash anchor Ethereum (roadmap)</w:t>
            </w:r>
          </w:p>
        </w:tc>
        <w:tc>
          <w:tcPr>
            <w:tcW w:type="dxa" w:w="616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color w:val="222222"/>
                <w:sz w:val="20"/>
                <w:szCs w:val="20"/>
              </w:rPr>
              <w:t xml:space="preserve">Ancoraggio periodico dell'hash del registro su Ethereum. Permette verifica esterna senza accesso ai contenuti. Prossimo step concreto.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bCs/>
                <w:color w:val="1A5C2A"/>
                <w:sz w:val="20"/>
                <w:szCs w:val="20"/>
              </w:rPr>
              <w:t xml:space="preserve">Layer 4 — ZKP (roadmap)</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222222"/>
                <w:sz w:val="20"/>
                <w:szCs w:val="20"/>
              </w:rPr>
              <w:t xml:space="preserve">Zero-Knowledge Proofs per audit privati verificabili. Lungo periodo, richiede partnership tecnica specializzata.</w:t>
            </w:r>
          </w:p>
        </w:tc>
      </w:tr>
      <w:tr>
        <w:tc>
          <w:tcPr>
            <w:tcW w:type="dxa" w:w="320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b/>
                <w:bCs/>
                <w:color w:val="1A5C2A"/>
                <w:sz w:val="20"/>
                <w:szCs w:val="20"/>
              </w:rPr>
              <w:t xml:space="preserve">Layer 5 — Certificazione (roadmap)</w:t>
            </w:r>
          </w:p>
        </w:tc>
        <w:tc>
          <w:tcPr>
            <w:tcW w:type="dxa" w:w="616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color w:val="222222"/>
                <w:sz w:val="20"/>
                <w:szCs w:val="20"/>
              </w:rPr>
              <w:t xml:space="preserve">Protocollo di onboarding per enti certificatori terzi. Non ancora definito.</w:t>
            </w:r>
          </w:p>
        </w:tc>
      </w:tr>
    </w:tbl>
    <w:p>
      <w:pPr>
        <w:spacing w:after="0" w:before="120"/>
      </w:pPr>
    </w:p>
    <w:p>
      <w:pPr>
        <w:spacing w:after="140" w:before="100"/>
      </w:pPr>
      <w:r>
        <w:rPr>
          <w:i/>
          <w:iCs/>
          <w:color w:val="666666"/>
          <w:sz w:val="20"/>
          <w:szCs w:val="20"/>
        </w:rPr>
        <w:t xml:space="preserve">Nota: la blockchain attuale e' privata e centralizzata. L'ancoraggio a blockchain pubblica e' il prossimo step realistico e consentirebbe gia' una verifica esterna significativa.</w:t>
      </w:r>
    </w:p>
    <w:p>
      <w:pPr>
        <w:pStyle w:val="Heading2"/>
        <w:spacing w:after="160" w:before="300"/>
      </w:pPr>
      <w:r>
        <w:rPr>
          <w:b/>
          <w:bCs/>
          <w:color w:val="2E7D32"/>
          <w:sz w:val="28"/>
          <w:szCs w:val="28"/>
        </w:rPr>
        <w:t xml:space="preserve">4.3 Il flusso operativo</w:t>
      </w:r>
    </w:p>
    <w:p>
      <w:pPr>
        <w:pStyle w:val="ListParagraph"/>
        <w:numPr>
          <w:ilvl w:val="0"/>
          <w:numId w:val="2"/>
        </w:numPr>
        <w:spacing w:after="60" w:before="60"/>
      </w:pPr>
      <w:r>
        <w:rPr>
          <w:color w:val="222222"/>
          <w:sz w:val="22"/>
          <w:szCs w:val="22"/>
        </w:rPr>
        <w:t xml:space="preserve">SUBMIT: l'operatore sottomette la richiesta con motivazione obbligatoria</w:t>
      </w:r>
    </w:p>
    <w:p>
      <w:pPr>
        <w:pStyle w:val="ListParagraph"/>
        <w:numPr>
          <w:ilvl w:val="0"/>
          <w:numId w:val="2"/>
        </w:numPr>
        <w:spacing w:after="60" w:before="60"/>
      </w:pPr>
      <w:r>
        <w:rPr>
          <w:color w:val="222222"/>
          <w:sz w:val="22"/>
          <w:szCs w:val="22"/>
        </w:rPr>
        <w:t xml:space="preserve">APPROVE: minimo due approvatori indipendenti autorizzano prima dell'esecuzione</w:t>
      </w:r>
    </w:p>
    <w:p>
      <w:pPr>
        <w:pStyle w:val="ListParagraph"/>
        <w:numPr>
          <w:ilvl w:val="0"/>
          <w:numId w:val="2"/>
        </w:numPr>
        <w:spacing w:after="60" w:before="60"/>
      </w:pPr>
      <w:r>
        <w:rPr>
          <w:color w:val="222222"/>
          <w:sz w:val="22"/>
          <w:szCs w:val="22"/>
        </w:rPr>
        <w:t xml:space="preserve">EXECUTE: l'operazione viene eseguita e hashata (solo l'hash, non il contenuto)</w:t>
      </w:r>
    </w:p>
    <w:p>
      <w:pPr>
        <w:pStyle w:val="ListParagraph"/>
        <w:numPr>
          <w:ilvl w:val="0"/>
          <w:numId w:val="2"/>
        </w:numPr>
        <w:spacing w:after="60" w:before="60"/>
      </w:pPr>
      <w:r>
        <w:rPr>
          <w:color w:val="222222"/>
          <w:sz w:val="22"/>
          <w:szCs w:val="22"/>
        </w:rPr>
        <w:t xml:space="preserve">CHAIN: l'evento viene registrato on-chain con timestamp, attori e hash crittografico</w:t>
      </w:r>
    </w:p>
    <w:p>
      <w:pPr>
        <w:pStyle w:val="ListParagraph"/>
        <w:numPr>
          <w:ilvl w:val="0"/>
          <w:numId w:val="2"/>
        </w:numPr>
        <w:spacing w:after="60" w:before="60"/>
      </w:pPr>
      <w:r>
        <w:rPr>
          <w:color w:val="222222"/>
          <w:sz w:val="22"/>
          <w:szCs w:val="22"/>
        </w:rPr>
        <w:t xml:space="preserve">VERIFY: enti autorizzati possono verificare l'integrita' della catena</w:t>
      </w:r>
    </w:p>
    <w:p>
      <w:r>
        <w:br w:type="page"/>
      </w:r>
    </w:p>
    <w:p>
      <w:pPr>
        <w:pStyle w:val="Heading1"/>
        <w:spacing w:after="200" w:before="400"/>
      </w:pPr>
      <w:r>
        <w:rPr>
          <w:b/>
          <w:bCs/>
          <w:color w:val="1A5C2A"/>
          <w:sz w:val="36"/>
          <w:szCs w:val="36"/>
        </w:rPr>
        <w:t xml:space="preserve">5. Stato Attuale: Cosa Esiste Oggi</w:t>
      </w:r>
    </w:p>
    <w:p>
      <w:pPr>
        <w:pStyle w:val="Heading2"/>
        <w:spacing w:after="160" w:before="300"/>
      </w:pPr>
      <w:r>
        <w:rPr>
          <w:b/>
          <w:bCs/>
          <w:color w:val="2E7D32"/>
          <w:sz w:val="28"/>
          <w:szCs w:val="28"/>
        </w:rPr>
        <w:t xml:space="preserve">5.1 Implementazione funzionante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b/>
                <w:bCs/>
                <w:color w:val="FFFFFF"/>
                <w:sz w:val="20"/>
                <w:szCs w:val="20"/>
              </w:rPr>
              <w:t xml:space="preserve">Componente</w:t>
            </w:r>
          </w:p>
        </w:tc>
        <w:tc>
          <w:tcPr>
            <w:tcW w:type="dxa" w:w="6160"/>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b/>
                <w:bCs/>
                <w:color w:val="FFFFFF"/>
                <w:sz w:val="20"/>
                <w:szCs w:val="20"/>
              </w:rPr>
              <w:t xml:space="preserve">Descrizione</w:t>
            </w:r>
          </w:p>
        </w:tc>
      </w:tr>
      <w:tr>
        <w:tc>
          <w:tcPr>
            <w:tcW w:type="dxa" w:w="320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b/>
                <w:bCs/>
                <w:color w:val="1A5C2A"/>
                <w:sz w:val="20"/>
                <w:szCs w:val="20"/>
              </w:rPr>
              <w:t xml:space="preserve">AIP-X API</w:t>
            </w:r>
          </w:p>
        </w:tc>
        <w:tc>
          <w:tcPr>
            <w:tcW w:type="dxa" w:w="616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color w:val="222222"/>
                <w:sz w:val="20"/>
                <w:szCs w:val="20"/>
              </w:rPr>
              <w:t xml:space="preserve">https://aip-x-api-production.up.railway.app — Backend Python, blockchain privata, ledger immutabile, autenticazione API key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bCs/>
                <w:color w:val="1A5C2A"/>
                <w:sz w:val="20"/>
                <w:szCs w:val="20"/>
              </w:rPr>
              <w:t xml:space="preserve">AIP-X Dashboard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222222"/>
                <w:sz w:val="20"/>
                <w:szCs w:val="20"/>
              </w:rPr>
              <w:t xml:space="preserve">https://aip-x-dashboard-production.up.railway.app — Interfaccia web con blockchain explorer, audit ledger, flusso approvazione</w:t>
            </w:r>
          </w:p>
        </w:tc>
      </w:tr>
      <w:tr>
        <w:tc>
          <w:tcPr>
            <w:tcW w:type="dxa" w:w="320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b/>
                <w:bCs/>
                <w:color w:val="1A5C2A"/>
                <w:sz w:val="20"/>
                <w:szCs w:val="20"/>
              </w:rPr>
              <w:t xml:space="preserve">DecisionLedger SaaS</w:t>
            </w:r>
          </w:p>
        </w:tc>
        <w:tc>
          <w:tcPr>
            <w:tcW w:type="dxa" w:w="616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color w:val="222222"/>
                <w:sz w:val="20"/>
                <w:szCs w:val="20"/>
              </w:rPr>
              <w:t xml:space="preserve">https://decision-flow-ledger-production.up.railway.app — Versione multi-tenant per organizzazioni</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bCs/>
                <w:color w:val="1A5C2A"/>
                <w:sz w:val="20"/>
                <w:szCs w:val="20"/>
              </w:rPr>
              <w:t xml:space="preserve">Codice sorgente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222222"/>
                <w:sz w:val="20"/>
                <w:szCs w:val="20"/>
              </w:rPr>
              <w:t xml:space="preserve">https://github.com/LedgerStone/decision-flow-ledger — Open source, 68/68 test automatizzati</w:t>
            </w:r>
          </w:p>
        </w:tc>
      </w:tr>
    </w:tbl>
    <w:p>
      <w:pPr>
        <w:pStyle w:val="Heading2"/>
        <w:spacing w:after="160" w:before="300"/>
      </w:pPr>
      <w:r>
        <w:rPr>
          <w:b/>
          <w:bCs/>
          <w:color w:val="2E7D32"/>
          <w:sz w:val="28"/>
          <w:szCs w:val="28"/>
        </w:rPr>
        <w:t xml:space="preserve">5.2 Gap da colmare — lista onesta</w:t>
      </w:r>
    </w:p>
    <w:p>
      <w:pPr>
        <w:pStyle w:val="ListParagraph"/>
        <w:numPr>
          <w:ilvl w:val="0"/>
          <w:numId w:val="2"/>
        </w:numPr>
        <w:spacing w:after="60" w:before="60"/>
      </w:pPr>
      <w:r>
        <w:rPr>
          <w:color w:val="222222"/>
          <w:sz w:val="22"/>
          <w:szCs w:val="22"/>
        </w:rPr>
        <w:t xml:space="preserve">Ancoraggio a blockchain pubblica (Ethereum) per verificabilita' esterna — prossimo step realistico</w:t>
      </w:r>
    </w:p>
    <w:p>
      <w:pPr>
        <w:pStyle w:val="ListParagraph"/>
        <w:numPr>
          <w:ilvl w:val="0"/>
          <w:numId w:val="2"/>
        </w:numPr>
        <w:spacing w:after="60" w:before="60"/>
      </w:pPr>
      <w:r>
        <w:rPr>
          <w:color w:val="222222"/>
          <w:sz w:val="22"/>
          <w:szCs w:val="22"/>
        </w:rPr>
        <w:t xml:space="preserve">Integrazione Zero-Knowledge Proofs per audit privati — lungo periodo</w:t>
      </w:r>
    </w:p>
    <w:p>
      <w:pPr>
        <w:pStyle w:val="ListParagraph"/>
        <w:numPr>
          <w:ilvl w:val="0"/>
          <w:numId w:val="2"/>
        </w:numPr>
        <w:spacing w:after="60" w:before="60"/>
      </w:pPr>
      <w:r>
        <w:rPr>
          <w:color w:val="222222"/>
          <w:sz w:val="22"/>
          <w:szCs w:val="22"/>
        </w:rPr>
        <w:t xml:space="preserve">Definizione formale del protocollo di certificazione e degli obblighi degli aderenti</w:t>
      </w:r>
    </w:p>
    <w:p>
      <w:pPr>
        <w:pStyle w:val="ListParagraph"/>
        <w:numPr>
          <w:ilvl w:val="0"/>
          <w:numId w:val="2"/>
        </w:numPr>
        <w:spacing w:after="60" w:before="60"/>
      </w:pPr>
      <w:r>
        <w:rPr>
          <w:color w:val="222222"/>
          <w:sz w:val="22"/>
          <w:szCs w:val="22"/>
        </w:rPr>
        <w:t xml:space="preserve">Coinvolgimento di almeno un ente garante o organismo istituzionale</w:t>
      </w:r>
    </w:p>
    <w:p>
      <w:pPr>
        <w:pStyle w:val="ListParagraph"/>
        <w:numPr>
          <w:ilvl w:val="0"/>
          <w:numId w:val="2"/>
        </w:numPr>
        <w:spacing w:after="60" w:before="60"/>
      </w:pPr>
      <w:r>
        <w:rPr>
          <w:color w:val="222222"/>
          <w:sz w:val="22"/>
          <w:szCs w:val="22"/>
        </w:rPr>
        <w:t xml:space="preserve">Validazione legale del protocollo in almeno una giurisdizione europea</w:t>
      </w:r>
    </w:p>
    <w:p>
      <w:pPr>
        <w:pStyle w:val="ListParagraph"/>
        <w:numPr>
          <w:ilvl w:val="0"/>
          <w:numId w:val="2"/>
        </w:numPr>
        <w:spacing w:after="60" w:before="60"/>
      </w:pPr>
      <w:r>
        <w:rPr>
          <w:color w:val="222222"/>
          <w:sz w:val="22"/>
          <w:szCs w:val="22"/>
        </w:rPr>
        <w:t xml:space="preserve">Audit indipendente del codice e dell'architettura</w:t>
      </w:r>
    </w:p>
    <w:p>
      <w:r>
        <w:br w:type="page"/>
      </w:r>
    </w:p>
    <w:p>
      <w:pPr>
        <w:pStyle w:val="Heading1"/>
        <w:spacing w:after="200" w:before="400"/>
      </w:pPr>
      <w:r>
        <w:rPr>
          <w:b/>
          <w:bCs/>
          <w:color w:val="1A5C2A"/>
          <w:sz w:val="36"/>
          <w:szCs w:val="36"/>
        </w:rPr>
        <w:t xml:space="preserve">6. A Chi Si Potrebbe Rivolgere ACP</w:t>
      </w:r>
    </w:p>
    <w:p>
      <w:pPr>
        <w:pStyle w:val="Heading2"/>
        <w:spacing w:after="160" w:before="300"/>
      </w:pPr>
      <w:r>
        <w:rPr>
          <w:b/>
          <w:bCs/>
          <w:color w:val="2E7D32"/>
          <w:sz w:val="28"/>
          <w:szCs w:val="28"/>
        </w:rPr>
        <w:t xml:space="preserve">6.1 Operatori potenzialmente interessati</w:t>
      </w:r>
    </w:p>
    <w:p>
      <w:pPr>
        <w:pStyle w:val="ListParagraph"/>
        <w:numPr>
          <w:ilvl w:val="0"/>
          <w:numId w:val="2"/>
        </w:numPr>
        <w:spacing w:after="60" w:before="60"/>
      </w:pPr>
      <w:r>
        <w:rPr>
          <w:color w:val="222222"/>
          <w:sz w:val="22"/>
          <w:szCs w:val="22"/>
        </w:rPr>
        <w:t xml:space="preserve">Piattaforme di intelligence e analisi dati su larga scala</w:t>
      </w:r>
    </w:p>
    <w:p>
      <w:pPr>
        <w:pStyle w:val="ListParagraph"/>
        <w:numPr>
          <w:ilvl w:val="0"/>
          <w:numId w:val="2"/>
        </w:numPr>
        <w:spacing w:after="60" w:before="60"/>
      </w:pPr>
      <w:r>
        <w:rPr>
          <w:color w:val="222222"/>
          <w:sz w:val="22"/>
          <w:szCs w:val="22"/>
        </w:rPr>
        <w:t xml:space="preserve">Sistemi di scoring creditizio e valutazione del rischio</w:t>
      </w:r>
    </w:p>
    <w:p>
      <w:pPr>
        <w:pStyle w:val="ListParagraph"/>
        <w:numPr>
          <w:ilvl w:val="0"/>
          <w:numId w:val="2"/>
        </w:numPr>
        <w:spacing w:after="60" w:before="60"/>
      </w:pPr>
      <w:r>
        <w:rPr>
          <w:color w:val="222222"/>
          <w:sz w:val="22"/>
          <w:szCs w:val="22"/>
        </w:rPr>
        <w:t xml:space="preserve">Piattaforme di selezione del personale basate su AI</w:t>
      </w:r>
    </w:p>
    <w:p>
      <w:pPr>
        <w:pStyle w:val="ListParagraph"/>
        <w:numPr>
          <w:ilvl w:val="0"/>
          <w:numId w:val="2"/>
        </w:numPr>
        <w:spacing w:after="60" w:before="60"/>
      </w:pPr>
      <w:r>
        <w:rPr>
          <w:color w:val="222222"/>
          <w:sz w:val="22"/>
          <w:szCs w:val="22"/>
        </w:rPr>
        <w:t xml:space="preserve">Sistemi di supporto alla diagnostica medica</w:t>
      </w:r>
    </w:p>
    <w:p>
      <w:pPr>
        <w:pStyle w:val="ListParagraph"/>
        <w:numPr>
          <w:ilvl w:val="0"/>
          <w:numId w:val="2"/>
        </w:numPr>
        <w:spacing w:after="60" w:before="60"/>
      </w:pPr>
      <w:r>
        <w:rPr>
          <w:color w:val="222222"/>
          <w:sz w:val="22"/>
          <w:szCs w:val="22"/>
        </w:rPr>
        <w:t xml:space="preserve">Qualsiasi sistema AI che supporta decisioni in contesti regolamentati</w:t>
      </w:r>
    </w:p>
    <w:p>
      <w:pPr>
        <w:spacing w:after="0" w:before="80"/>
      </w:pPr>
    </w:p>
    <w:p>
      <w:pPr>
        <w:spacing w:after="140" w:before="100"/>
      </w:pPr>
      <w:r>
        <w:rPr>
          <w:i/>
          <w:iCs/>
          <w:color w:val="666666"/>
          <w:sz w:val="20"/>
          <w:szCs w:val="20"/>
        </w:rPr>
        <w:t xml:space="preserve">Nota: l'adesione di operatori specifici e' un obiettivo di lungo periodo che presuppone il riconoscimento istituzionale dello standard. Allo stato attuale non esiste alcun accordo con operatori di questo tipo.</w:t>
      </w:r>
    </w:p>
    <w:p>
      <w:pPr>
        <w:pStyle w:val="Heading2"/>
        <w:spacing w:after="160" w:before="300"/>
      </w:pPr>
      <w:r>
        <w:rPr>
          <w:b/>
          <w:bCs/>
          <w:color w:val="2E7D32"/>
          <w:sz w:val="28"/>
          <w:szCs w:val="28"/>
        </w:rPr>
        <w:t xml:space="preserve">6.2 Chi potrebbe certificare in futuro</w:t>
      </w:r>
    </w:p>
    <w:p>
      <w:pPr>
        <w:pStyle w:val="ListParagraph"/>
        <w:numPr>
          <w:ilvl w:val="0"/>
          <w:numId w:val="2"/>
        </w:numPr>
        <w:spacing w:after="60" w:before="60"/>
      </w:pPr>
      <w:r>
        <w:rPr>
          <w:color w:val="222222"/>
          <w:sz w:val="22"/>
          <w:szCs w:val="22"/>
        </w:rPr>
        <w:t xml:space="preserve">Autorita' Garante per la Protezione dei Dati Personali (GPDP)</w:t>
      </w:r>
    </w:p>
    <w:p>
      <w:pPr>
        <w:pStyle w:val="ListParagraph"/>
        <w:numPr>
          <w:ilvl w:val="0"/>
          <w:numId w:val="2"/>
        </w:numPr>
        <w:spacing w:after="60" w:before="60"/>
      </w:pPr>
      <w:r>
        <w:rPr>
          <w:color w:val="222222"/>
          <w:sz w:val="22"/>
          <w:szCs w:val="22"/>
        </w:rPr>
        <w:t xml:space="preserve">European Data Protection Board (EDPB)</w:t>
      </w:r>
    </w:p>
    <w:p>
      <w:pPr>
        <w:pStyle w:val="ListParagraph"/>
        <w:numPr>
          <w:ilvl w:val="0"/>
          <w:numId w:val="2"/>
        </w:numPr>
        <w:spacing w:after="60" w:before="60"/>
      </w:pPr>
      <w:r>
        <w:rPr>
          <w:color w:val="222222"/>
          <w:sz w:val="22"/>
          <w:szCs w:val="22"/>
        </w:rPr>
        <w:t xml:space="preserve">Organismi di certificazione in attesa di designazione nell'ambito EU AI Act</w:t>
      </w:r>
    </w:p>
    <w:p>
      <w:pPr>
        <w:pStyle w:val="ListParagraph"/>
        <w:numPr>
          <w:ilvl w:val="0"/>
          <w:numId w:val="2"/>
        </w:numPr>
        <w:spacing w:after="60" w:before="60"/>
      </w:pPr>
      <w:r>
        <w:rPr>
          <w:color w:val="222222"/>
          <w:sz w:val="22"/>
          <w:szCs w:val="22"/>
        </w:rPr>
        <w:t xml:space="preserve">Enti di certificazione ISO accreditati nel settore IT/AI</w:t>
      </w:r>
    </w:p>
    <w:p>
      <w:pPr>
        <w:spacing w:after="0" w:before="80"/>
      </w:pPr>
    </w:p>
    <w:p>
      <w:pPr>
        <w:spacing w:after="140" w:before="100"/>
      </w:pPr>
      <w:r>
        <w:rPr>
          <w:i/>
          <w:iCs/>
          <w:color w:val="666666"/>
          <w:sz w:val="20"/>
          <w:szCs w:val="20"/>
        </w:rPr>
        <w:t xml:space="preserve">Nota: nessun ente certificatore e' stato ancora coinvolto. Il processo di designazione degli organismi notificati per l'AI Act e' in corso a livello europeo.</w:t>
      </w:r>
    </w:p>
    <w:p>
      <w:r>
        <w:br w:type="page"/>
      </w:r>
    </w:p>
    <w:p>
      <w:pPr>
        <w:pStyle w:val="Heading1"/>
        <w:spacing w:after="200" w:before="400"/>
      </w:pPr>
      <w:r>
        <w:rPr>
          <w:b/>
          <w:bCs/>
          <w:color w:val="1A5C2A"/>
          <w:sz w:val="36"/>
          <w:szCs w:val="36"/>
        </w:rPr>
        <w:t xml:space="preserve">7. Roadmap Indicativa</w:t>
      </w:r>
    </w:p>
    <w:p>
      <w:pPr>
        <w:spacing w:after="140" w:before="100"/>
      </w:pPr>
      <w:r>
        <w:rPr>
          <w:i/>
          <w:iCs/>
          <w:color w:val="666666"/>
          <w:sz w:val="20"/>
          <w:szCs w:val="20"/>
        </w:rPr>
        <w:t xml:space="preserve">Le date sono indicative e soggette a revisione in base alle risorse disponibili e ai partner coinvolti.</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b/>
                <w:bCs/>
                <w:color w:val="FFFFFF"/>
                <w:sz w:val="20"/>
                <w:szCs w:val="20"/>
              </w:rPr>
              <w:t xml:space="preserve">Componente</w:t>
            </w:r>
          </w:p>
        </w:tc>
        <w:tc>
          <w:tcPr>
            <w:tcW w:type="dxa" w:w="6160"/>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b/>
                <w:bCs/>
                <w:color w:val="FFFFFF"/>
                <w:sz w:val="20"/>
                <w:szCs w:val="20"/>
              </w:rPr>
              <w:t xml:space="preserve">Descrizione</w:t>
            </w:r>
          </w:p>
        </w:tc>
      </w:tr>
      <w:tr>
        <w:tc>
          <w:tcPr>
            <w:tcW w:type="dxa" w:w="320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b/>
                <w:bCs/>
                <w:color w:val="1A5C2A"/>
                <w:sz w:val="20"/>
                <w:szCs w:val="20"/>
              </w:rPr>
              <w:t xml:space="preserve">Q2 2026 — Fase 1</w:t>
            </w:r>
          </w:p>
        </w:tc>
        <w:tc>
          <w:tcPr>
            <w:tcW w:type="dxa" w:w="616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color w:val="222222"/>
                <w:sz w:val="20"/>
                <w:szCs w:val="20"/>
              </w:rPr>
              <w:t xml:space="preserve">Completamento bozza tecnica ACP v1.0. Apertura a feedback pubblico e istituzionale. Ricerca partner tecnici e istituzionali.</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bCs/>
                <w:color w:val="1A5C2A"/>
                <w:sz w:val="20"/>
                <w:szCs w:val="20"/>
              </w:rPr>
              <w:t xml:space="preserve">Q3 2026 — Fase 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222222"/>
                <w:sz w:val="20"/>
                <w:szCs w:val="20"/>
              </w:rPr>
              <w:t xml:space="preserve">Implementazione hash anchor su Ethereum (step concreto verso verificabilita' esterna). Avvio dialogo con almeno un'autorita' garante europea. Primo caso pilota.</w:t>
            </w:r>
          </w:p>
        </w:tc>
      </w:tr>
      <w:tr>
        <w:tc>
          <w:tcPr>
            <w:tcW w:type="dxa" w:w="320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b/>
                <w:bCs/>
                <w:color w:val="1A5C2A"/>
                <w:sz w:val="20"/>
                <w:szCs w:val="20"/>
              </w:rPr>
              <w:t xml:space="preserve">Q4 2026 — Fase 3</w:t>
            </w:r>
          </w:p>
        </w:tc>
        <w:tc>
          <w:tcPr>
            <w:tcW w:type="dxa" w:w="6160"/>
            <w:tcBorders>
              <w:top w:val="single" w:color="CCCCCC" w:sz="1"/>
              <w:left w:val="single" w:color="CCCCCC" w:sz="1"/>
              <w:bottom w:val="single" w:color="CCCCCC" w:sz="1"/>
              <w:right w:val="single" w:color="CCCCCC" w:sz="1"/>
            </w:tcBorders>
            <w:shd w:fill="F1F8F2" w:val="clear"/>
            <w:tcMar>
              <w:top w:type="dxa" w:w="100"/>
              <w:left w:type="dxa" w:w="160"/>
              <w:bottom w:type="dxa" w:w="100"/>
              <w:right w:type="dxa" w:w="160"/>
            </w:tcMar>
          </w:tcPr>
          <w:p>
            <w:r>
              <w:rPr>
                <w:color w:val="222222"/>
                <w:sz w:val="20"/>
                <w:szCs w:val="20"/>
              </w:rPr>
              <w:t xml:space="preserve">Prototipo Zero-Knowledge Proofs. Definizione formale protocollo certificazione. Audit indipendente del codice.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bCs/>
                <w:color w:val="1A5C2A"/>
                <w:sz w:val="20"/>
                <w:szCs w:val="20"/>
              </w:rPr>
              <w:t xml:space="preserve">2027 — Fase 4</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color w:val="222222"/>
                <w:sz w:val="20"/>
                <w:szCs w:val="20"/>
              </w:rPr>
              <w:t xml:space="preserve">Proposta formale di contributo al dibattito tecnico EU AI Act. Obiettivo: almeno 3 organizzazioni che adottano ACP come standard interno.</w:t>
            </w:r>
          </w:p>
        </w:tc>
      </w:tr>
    </w:tbl>
    <w:p>
      <w:r>
        <w:br w:type="page"/>
      </w:r>
    </w:p>
    <w:p>
      <w:pPr>
        <w:pStyle w:val="Heading1"/>
        <w:spacing w:after="200" w:before="400"/>
      </w:pPr>
      <w:r>
        <w:rPr>
          <w:b/>
          <w:bCs/>
          <w:color w:val="1A5C2A"/>
          <w:sz w:val="36"/>
          <w:szCs w:val="36"/>
        </w:rPr>
        <w:t xml:space="preserve">8. Come Contribuire</w:t>
      </w:r>
    </w:p>
    <w:p>
      <w:pPr>
        <w:spacing w:after="140" w:before="100"/>
      </w:pPr>
      <w:r>
        <w:rPr>
          <w:color w:val="222222"/>
          <w:sz w:val="22"/>
          <w:szCs w:val="22"/>
        </w:rPr>
        <w:t xml:space="preserve">ACP e' una proposta aperta. Il progetto ha bisogno di contributi in tre aree distinte:</w:t>
      </w:r>
    </w:p>
    <w:p>
      <w:pPr>
        <w:pStyle w:val="Heading2"/>
        <w:spacing w:after="160" w:before="300"/>
      </w:pPr>
      <w:r>
        <w:rPr>
          <w:b/>
          <w:bCs/>
          <w:color w:val="2E7D32"/>
          <w:sz w:val="28"/>
          <w:szCs w:val="28"/>
        </w:rPr>
        <w:t xml:space="preserve">8.1 Partner tecnici</w:t>
      </w:r>
    </w:p>
    <w:p>
      <w:pPr>
        <w:spacing w:after="140" w:before="100"/>
      </w:pPr>
      <w:r>
        <w:rPr>
          <w:color w:val="222222"/>
          <w:sz w:val="22"/>
          <w:szCs w:val="22"/>
        </w:rPr>
        <w:t xml:space="preserve">Cerchiamo collaboratori con competenze in:</w:t>
      </w:r>
    </w:p>
    <w:p>
      <w:pPr>
        <w:pStyle w:val="ListParagraph"/>
        <w:numPr>
          <w:ilvl w:val="0"/>
          <w:numId w:val="2"/>
        </w:numPr>
        <w:spacing w:after="60" w:before="60"/>
      </w:pPr>
      <w:r>
        <w:rPr>
          <w:color w:val="222222"/>
          <w:sz w:val="22"/>
          <w:szCs w:val="22"/>
        </w:rPr>
        <w:t xml:space="preserve">Crittografia applicata e Zero-Knowledge Proofs — per portare il Layer 3 dall'idea all'implementazione</w:t>
      </w:r>
    </w:p>
    <w:p>
      <w:pPr>
        <w:pStyle w:val="ListParagraph"/>
        <w:numPr>
          <w:ilvl w:val="0"/>
          <w:numId w:val="2"/>
        </w:numPr>
        <w:spacing w:after="60" w:before="60"/>
      </w:pPr>
      <w:r>
        <w:rPr>
          <w:color w:val="222222"/>
          <w:sz w:val="22"/>
          <w:szCs w:val="22"/>
        </w:rPr>
        <w:t xml:space="preserve">Smart contract Ethereum — per implementare l'hash anchor su blockchain pubblica</w:t>
      </w:r>
    </w:p>
    <w:p>
      <w:pPr>
        <w:pStyle w:val="ListParagraph"/>
        <w:numPr>
          <w:ilvl w:val="0"/>
          <w:numId w:val="2"/>
        </w:numPr>
        <w:spacing w:after="60" w:before="60"/>
      </w:pPr>
      <w:r>
        <w:rPr>
          <w:color w:val="222222"/>
          <w:sz w:val="22"/>
          <w:szCs w:val="22"/>
        </w:rPr>
        <w:t xml:space="preserve">Security audit — per una revisione indipendente dell'architettura attuale</w:t>
      </w:r>
    </w:p>
    <w:p>
      <w:pPr>
        <w:spacing w:after="140" w:before="100"/>
      </w:pPr>
      <w:r>
        <w:rPr>
          <w:color w:val="222222"/>
          <w:sz w:val="22"/>
          <w:szCs w:val="22"/>
        </w:rPr>
        <w:t xml:space="preserve">Il codice e' open source su GitHub. Le issue e le pull request sono benvenute.</w:t>
      </w:r>
    </w:p>
    <w:p>
      <w:pPr>
        <w:pStyle w:val="Heading2"/>
        <w:spacing w:after="160" w:before="300"/>
      </w:pPr>
      <w:r>
        <w:rPr>
          <w:b/>
          <w:bCs/>
          <w:color w:val="2E7D32"/>
          <w:sz w:val="28"/>
          <w:szCs w:val="28"/>
        </w:rPr>
        <w:t xml:space="preserve">8.2 Partner istituzionali</w:t>
      </w:r>
    </w:p>
    <w:p>
      <w:pPr>
        <w:spacing w:after="140" w:before="100"/>
      </w:pPr>
      <w:r>
        <w:rPr>
          <w:color w:val="222222"/>
          <w:sz w:val="22"/>
          <w:szCs w:val="22"/>
        </w:rPr>
        <w:t xml:space="preserve">Cerchiamo autorita' garanti, organismi di ricerca o enti pubblici disponibili a:</w:t>
      </w:r>
    </w:p>
    <w:p>
      <w:pPr>
        <w:pStyle w:val="ListParagraph"/>
        <w:numPr>
          <w:ilvl w:val="0"/>
          <w:numId w:val="2"/>
        </w:numPr>
        <w:spacing w:after="60" w:before="60"/>
      </w:pPr>
      <w:r>
        <w:rPr>
          <w:color w:val="222222"/>
          <w:sz w:val="22"/>
          <w:szCs w:val="22"/>
        </w:rPr>
        <w:t xml:space="preserve">Un dialogo esplorativo sulla fattibilita' del protocollo di certificazione</w:t>
      </w:r>
    </w:p>
    <w:p>
      <w:pPr>
        <w:pStyle w:val="ListParagraph"/>
        <w:numPr>
          <w:ilvl w:val="0"/>
          <w:numId w:val="2"/>
        </w:numPr>
        <w:spacing w:after="60" w:before="60"/>
      </w:pPr>
      <w:r>
        <w:rPr>
          <w:color w:val="222222"/>
          <w:sz w:val="22"/>
          <w:szCs w:val="22"/>
        </w:rPr>
        <w:t xml:space="preserve">Partecipare come osservatori a un primo caso pilota</w:t>
      </w:r>
    </w:p>
    <w:p>
      <w:pPr>
        <w:pStyle w:val="ListParagraph"/>
        <w:numPr>
          <w:ilvl w:val="0"/>
          <w:numId w:val="2"/>
        </w:numPr>
        <w:spacing w:after="60" w:before="60"/>
      </w:pPr>
      <w:r>
        <w:rPr>
          <w:color w:val="222222"/>
          <w:sz w:val="22"/>
          <w:szCs w:val="22"/>
        </w:rPr>
        <w:t xml:space="preserve">Fornire feedback sulla struttura del protocollo dal punto di vista regolatorio</w:t>
      </w:r>
    </w:p>
    <w:p>
      <w:pPr>
        <w:spacing w:after="140" w:before="100"/>
      </w:pPr>
      <w:r>
        <w:rPr>
          <w:color w:val="222222"/>
          <w:sz w:val="22"/>
          <w:szCs w:val="22"/>
        </w:rPr>
        <w:t xml:space="preserve">Non chiediamo impegni formali in questa fase — solo una conversazione.</w:t>
      </w:r>
    </w:p>
    <w:p>
      <w:pPr>
        <w:pStyle w:val="Heading2"/>
        <w:spacing w:after="160" w:before="300"/>
      </w:pPr>
      <w:r>
        <w:rPr>
          <w:b/>
          <w:bCs/>
          <w:color w:val="2E7D32"/>
          <w:sz w:val="28"/>
          <w:szCs w:val="28"/>
        </w:rPr>
        <w:t xml:space="preserve">8.3 Organizzazioni pilota</w:t>
      </w:r>
    </w:p>
    <w:p>
      <w:pPr>
        <w:spacing w:after="140" w:before="100"/>
      </w:pPr>
      <w:r>
        <w:rPr>
          <w:color w:val="222222"/>
          <w:sz w:val="22"/>
          <w:szCs w:val="22"/>
        </w:rPr>
        <w:t xml:space="preserve">Cerchiamo organizzazioni che utilizzano sistemi AI in contesti regolamentati e che vogliono:</w:t>
      </w:r>
    </w:p>
    <w:p>
      <w:pPr>
        <w:pStyle w:val="ListParagraph"/>
        <w:numPr>
          <w:ilvl w:val="0"/>
          <w:numId w:val="2"/>
        </w:numPr>
        <w:spacing w:after="60" w:before="60"/>
      </w:pPr>
      <w:r>
        <w:rPr>
          <w:color w:val="222222"/>
          <w:sz w:val="22"/>
          <w:szCs w:val="22"/>
        </w:rPr>
        <w:t xml:space="preserve">Adottare ACP come standard interno volontario</w:t>
      </w:r>
    </w:p>
    <w:p>
      <w:pPr>
        <w:pStyle w:val="ListParagraph"/>
        <w:numPr>
          <w:ilvl w:val="0"/>
          <w:numId w:val="2"/>
        </w:numPr>
        <w:spacing w:after="60" w:before="60"/>
      </w:pPr>
      <w:r>
        <w:rPr>
          <w:color w:val="222222"/>
          <w:sz w:val="22"/>
          <w:szCs w:val="22"/>
        </w:rPr>
        <w:t xml:space="preserve">Testare il sistema in un contesto reale e fornire feedback</w:t>
      </w:r>
    </w:p>
    <w:p>
      <w:pPr>
        <w:pStyle w:val="ListParagraph"/>
        <w:numPr>
          <w:ilvl w:val="0"/>
          <w:numId w:val="2"/>
        </w:numPr>
        <w:spacing w:after="60" w:before="60"/>
      </w:pPr>
      <w:r>
        <w:rPr>
          <w:color w:val="222222"/>
          <w:sz w:val="22"/>
          <w:szCs w:val="22"/>
        </w:rPr>
        <w:t xml:space="preserve">Essere citate come early adopter nel whitepaper definitivo</w:t>
      </w:r>
    </w:p>
    <w:p>
      <w:pPr>
        <w:spacing w:after="140" w:before="100"/>
      </w:pPr>
      <w:r>
        <w:rPr>
          <w:color w:val="222222"/>
          <w:sz w:val="22"/>
          <w:szCs w:val="22"/>
        </w:rPr>
        <w:t xml:space="preserve">Per il pilota non e' richiesta la pubblicazione dei dati operativi — solo la disponibilita' a testare il flusso tecnico.</w:t>
      </w:r>
    </w:p>
    <w:p>
      <w:pPr>
        <w:spacing w:after="0" w:before="200"/>
      </w:pPr>
    </w:p>
    <w:p>
      <w:pPr>
        <w:pBdr>
          <w:bottom w:val="single" w:color="CCCCCC" w:sz="4" w:space="1"/>
        </w:pBdr>
        <w:spacing w:after="200" w:before="200"/>
      </w:pPr>
    </w:p>
    <w:p>
      <w:pPr>
        <w:spacing w:after="0" w:before="160"/>
      </w:pPr>
    </w:p>
    <w:p>
      <w:pPr>
        <w:spacing w:after="80" w:before="0"/>
        <w:jc w:val="center"/>
      </w:pPr>
      <w:r>
        <w:rPr>
          <w:b/>
          <w:bCs/>
          <w:color w:val="1A5C2A"/>
          <w:sz w:val="24"/>
          <w:szCs w:val="24"/>
        </w:rPr>
        <w:t xml:space="preserve">Contatti</w:t>
      </w:r>
    </w:p>
    <w:p>
      <w:pPr>
        <w:spacing w:after="60" w:before="0"/>
        <w:jc w:val="center"/>
      </w:pPr>
      <w:r>
        <w:rPr>
          <w:color w:val="444444"/>
          <w:sz w:val="20"/>
          <w:szCs w:val="20"/>
        </w:rPr>
        <w:t xml:space="preserve">GitHub: github.com/LedgerStone/decision-flow-ledger</w:t>
      </w:r>
    </w:p>
    <w:p>
      <w:pPr>
        <w:spacing w:after="60" w:before="0"/>
        <w:jc w:val="center"/>
      </w:pPr>
      <w:r>
        <w:rPr>
          <w:color w:val="444444"/>
          <w:sz w:val="20"/>
          <w:szCs w:val="20"/>
        </w:rPr>
        <w:t xml:space="preserve">Demo: https://aip-x-dashboard-production.up.railway.app</w:t>
      </w:r>
    </w:p>
    <w:p>
      <w:pPr>
        <w:spacing w:after="0" w:before="0"/>
        <w:jc w:val="center"/>
      </w:pPr>
      <w:r>
        <w:rPr>
          <w:i/>
          <w:iCs/>
          <w:color w:val="888888"/>
          <w:sz w:val="18"/>
          <w:szCs w:val="18"/>
        </w:rPr>
        <w:t xml:space="preserve">Versione 0.1 — Bozza — Marzo 2026 — Non destinato a distribuzione pubblica senza revisione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AIP-X Certification Protocol v0.1 — Bozza per Discussione  |  Pagina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C2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2026-03-14T09:26:43.034Z</dcterms:created>
  <dcterms:modified xsi:type="dcterms:W3CDTF">2026-03-14T09:26:43.035Z</dcterms:modified>
</cp:coreProperties>
</file>

<file path=docProps/custom.xml><?xml version="1.0" encoding="utf-8"?>
<Properties xmlns="http://schemas.openxmlformats.org/officeDocument/2006/custom-properties" xmlns:vt="http://schemas.openxmlformats.org/officeDocument/2006/docPropsVTypes"/>
</file>