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a3c5e"/>
          <w:sz w:val="36"/>
          <w:szCs w:val="36"/>
        </w:rPr>
        <w:t xml:space="preserve">LEDGER &amp; LOT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Hot Auction Deals Shortlist — July 2026</w:t>
      </w:r>
    </w:p>
    <w:p>
      <w:pPr>
        <w:spacing w:after="160"/>
      </w:pPr>
      <w:r>
        <w:rPr>
          <w:i/>
          <w:iCs/>
          <w:color w:val="888888"/>
          <w:sz w:val="22"/>
          <w:szCs w:val="22"/>
        </w:rPr>
        <w:t xml:space="preserve">Source: Allsop Residential Auction — 29/30 July 2026. Next SDL online auctions run throughout July. All figures are guide prices; conduct your own comparables via Land Registry before bidding.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How to Use This List</w:t>
      </w:r>
    </w:p>
    <w:p>
      <w:pPr>
        <w:spacing w:after="160"/>
      </w:pPr>
      <w:r>
        <w:rPr>
          <w:sz w:val="22"/>
          <w:szCs w:val="22"/>
        </w:rPr>
        <w:t xml:space="preserve">Each deal is scored on three factors: (1) BMV potential based on guide vs. area sold comparables, (2) demand — rental yield or resale speed, (3) cash buyer suitability — tight 28-day completion window applies to all lots. Register at allsop.co.uk or sdlauctions.co.uk to access legal packs.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a3c5e"/>
          <w:sz w:val="28"/>
          <w:szCs w:val="28"/>
        </w:rPr>
        <w:t xml:space="preserve">Shortlisted Deals — July 2026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Deal 1 — North West London, 2-Bed Flat (Probate)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Brent / Harlesden NW10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2-bed ground floor flat, probate sale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Guide Price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£220,000 – £240,000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Est. Market 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£290,000–£310,000 (recent comparables)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BMV Potential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~20–25% below market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Rental Yield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~6.5% gross at guide price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Hot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Probate — motivated executor, vacant, quick completion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Download legal pack, instruct solicitor, arrange finance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Deal 2 — East Midlands, 3-Bed Terrace (Repossession)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Nottingham NG3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3-bed mid-terrace, lender repossession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Guide Price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£95,000 – £110,000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Est. Market 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£145,000–£155,000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BMV Potential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~25–30% below market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Rental Yield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~8.5% gross at guide price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Hot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Repossession — lender wants clean exit, no chain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Instruct local solicitor early, arrange bridging if needed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Deal 3 — South Yorkshire, HMO Opportunity (Portfolio Exit)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Sheffield S3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4-bed HMO, landlord portfolio exit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Guide Price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£130,000 – £150,000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Est. Market 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£185,000–£195,000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BMV Potential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~20–25% below market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Rental Yield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~10%+ gross (4 rooms let individually)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Hot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Existing HMO licence, tenanted — day-one income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HMO licence validity, review tenancy schedule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Deal 4 — West London, Studio (Chain Break)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Ealing W5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Studio flat, chain break / vendor needs speed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Guide Price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£195,000 – £215,000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Est. Market 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£260,000–£270,000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BMV Potential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~18–22% below market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Rental Yield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~5.8% gross — strong rental demand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Hot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West London — close to your Shepherd's Bush patch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Match to cash buyer on your list immediately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a3c5e"/>
          <w:sz w:val="28"/>
          <w:szCs w:val="28"/>
        </w:rPr>
        <w:t xml:space="preserve">Where to Register</w:t>
      </w:r>
    </w:p>
    <w:p>
      <w:pPr>
        <w:spacing w:after="160"/>
      </w:pPr>
      <w:r>
        <w:rPr>
          <w:sz w:val="22"/>
          <w:szCs w:val="22"/>
        </w:rPr>
        <w:t xml:space="preserve">• Allsop Residential: allsop.co.uk/auctions/residential-auctions — Next auction 29/30 July 2026</w:t>
      </w:r>
    </w:p>
    <w:p>
      <w:pPr>
        <w:spacing w:after="160"/>
      </w:pPr>
      <w:r>
        <w:rPr>
          <w:sz w:val="22"/>
          <w:szCs w:val="22"/>
        </w:rPr>
        <w:t xml:space="preserve">• SDL Property Auctions: sdlauctions.co.uk — online auctions running throughout July</w:t>
      </w:r>
    </w:p>
    <w:p>
      <w:pPr>
        <w:spacing w:after="160"/>
      </w:pPr>
      <w:r>
        <w:rPr>
          <w:sz w:val="22"/>
          <w:szCs w:val="22"/>
        </w:rPr>
        <w:t xml:space="preserve">• Network Auctions: networkauctions.co.uk</w:t>
      </w:r>
    </w:p>
    <w:p>
      <w:pPr>
        <w:spacing w:after="160"/>
      </w:pPr>
      <w:r>
        <w:rPr>
          <w:sz w:val="22"/>
          <w:szCs w:val="22"/>
        </w:rPr>
        <w:t xml:space="preserve">• Auction House UK: auctionhouse.co.uk — regional catalogues</w:t>
      </w:r>
    </w:p>
    <w:p>
      <w:r>
        <w:t xml:space="preserve"/>
      </w:r>
    </w:p>
    <w:p>
      <w:pPr>
        <w:spacing w:after="160"/>
      </w:pPr>
      <w:r>
        <w:rPr>
          <w:i/>
          <w:iCs/>
          <w:color w:val="888888"/>
          <w:sz w:val="18"/>
          <w:szCs w:val="18"/>
        </w:rPr>
        <w:t xml:space="preserve">Disclaimer: Guide prices and BMV estimates are for research purposes only. Always verify against Land Registry sold data and instruct a solicitor before bidding. Ledger &amp; Lot does not guarantee accuracy of third-party auction information.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2026-06-24T06:53:36.984Z</dcterms:created>
  <dcterms:modified xsi:type="dcterms:W3CDTF">2026-06-24T06:53:36.984Z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