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8"/>
          <w:szCs w:val="48"/>
        </w:rPr>
        <w:t xml:space="preserve">LEDGERIX PRO</w:t>
      </w:r>
    </w:p>
    <w:p>
      <w:pPr>
        <w:spacing w:after="60"/>
        <w:jc w:val="center"/>
      </w:pPr>
      <w:r>
        <w:rPr>
          <w:rFonts w:ascii="Arial" w:cs="Arial" w:eastAsia="Arial" w:hAnsi="Arial"/>
          <w:color w:val="2E75B6"/>
          <w:sz w:val="32"/>
          <w:szCs w:val="32"/>
        </w:rPr>
        <w:t xml:space="preserve">Claude Project Brief</w:t>
      </w:r>
    </w:p>
    <w:p>
      <w:pPr>
        <w:spacing w:after="60"/>
        <w:jc w:val="center"/>
      </w:pPr>
      <w:r>
        <w:rPr>
          <w:rFonts w:ascii="Arial" w:cs="Arial" w:eastAsia="Arial" w:hAnsi="Arial"/>
          <w:i/>
          <w:iCs/>
          <w:color w:val="595959"/>
          <w:sz w:val="22"/>
          <w:szCs w:val="22"/>
        </w:rPr>
        <w:t xml:space="preserve">Context document for AI assistant — optimized for fast loading</w:t>
      </w:r>
    </w:p>
    <w:p>
      <w:pPr>
        <w:spacing w:after="240"/>
        <w:jc w:val="center"/>
      </w:pPr>
      <w:r>
        <w:rPr>
          <w:rFonts w:ascii="Arial" w:cs="Arial" w:eastAsia="Arial" w:hAnsi="Arial"/>
          <w:b/>
          <w:bCs/>
          <w:color w:val="1F3A5F"/>
          <w:sz w:val="22"/>
          <w:szCs w:val="22"/>
        </w:rPr>
        <w:t xml:space="preserve">Version 1.2 — May 17,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0F9" w:color="auto" w:val="clear"/>
            <w:tcMar>
              <w:top w:type="dxa" w:w="120"/>
              <w:left w:type="dxa" w:w="180"/>
              <w:bottom w:type="dxa" w:w="120"/>
              <w:right w:type="dxa" w:w="180"/>
            </w:tcMar>
          </w:tcPr>
          <w:p>
            <w:pPr>
              <w:spacing w:after="60"/>
            </w:pPr>
            <w:r>
              <w:rPr>
                <w:rFonts w:ascii="Arial" w:cs="Arial" w:eastAsia="Arial" w:hAnsi="Arial"/>
                <w:b/>
                <w:bCs/>
                <w:color w:val="1F3A5F"/>
                <w:sz w:val="22"/>
                <w:szCs w:val="22"/>
              </w:rPr>
              <w:t xml:space="preserve">PURPOSE OF THIS DOCUMENT</w:t>
            </w:r>
          </w:p>
          <w:p>
            <w:pPr>
              <w:spacing w:after="0"/>
            </w:pPr>
            <w:r>
              <w:rPr>
                <w:rFonts w:ascii="Arial" w:cs="Arial" w:eastAsia="Arial" w:hAnsi="Arial"/>
                <w:color w:val="1A1A1A"/>
                <w:sz w:val="22"/>
                <w:szCs w:val="22"/>
              </w:rPr>
              <w:t xml:space="preserve">You are assisting Scott Hansbury, Founder &amp; Business Strategist of Ledgerix Pro — an AI-powered autonomous bookkeeping firm deployed on Railway cloud. This brief gives you everything you need to assist without re-explanation. Read it fully before responding to any Ledgerix Pro question.</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1. Who &amp;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Founder</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Scott Hansbury — scott@ledgerixpro.com / admin@ledgerixpro.com</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Company</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Ledgerix Pro LLC — AI-powered bookkeeping firm</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Location</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Scottsdale / Phoenix, Arizona</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Stage</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Beta — 1 active client (Enyrgy Inc), first paying clients being acquired</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Codebase</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/Users/scotthansbury/Projects/ledgerix-pro-core (local) | github.com/LedgerixPro/ledgerix-pro-core (private)</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Live URL</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https://api.ledgerixpro.com</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Dashboard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https://api.ledgerixpro.com/dashboard</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Dashboard Secret</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e877bb00219cd8758269d397743906d8995144ff7e4c2f9a69741574672e894c</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Paperclip Company ID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f60117de-1131-433c-934f-3fe88bfaa163</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Board API Key</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pcp_board_railway_admin_key_2026</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 Location ID</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GhnRONQQVJiCKsdWoQFc</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Railway DB</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postgresql://postgres:TsZlqUCeemXLEDyIHBwOcgmdeGSoTkKS@turntable.proxy.rlwy.net:32057/railway</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2. Tech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5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Agent Orchestration</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Paperclip AI (claude_local adapter, claude-sonnet-4-6 model)</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 on Railway</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Infrastructure</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Railway cloud — auto-deploys on git push to master</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Database</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External PostgreSQL on Railway</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CRM</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GoHighLevel (GHL)</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Xero (multi-tenant per-contact OAuth) + QBO (built, pending client)</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Xero live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Language</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TypeScript / Node.js (ESM, pnpm monorepo)</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DB Backups</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Hourly automated .sql.gz snapshots in Railway container</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Portal</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api.ledgerixpro.com/portal/{slug} or /{contactId}</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 Webhook</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Registered at developer.xero.com — Invoices, Contacts, Credit Notes</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Live, OK</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A2P SMS</w:t>
            </w:r>
          </w:p>
        </w:tc>
        <w:tc>
          <w:tcPr>
            <w:tcW w:type="dxa" w:w="5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GHL Trust Center approval pending</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Pending</w:t>
            </w:r>
          </w:p>
        </w:tc>
      </w:tr>
      <w:tr>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Google Place ID</w:t>
            </w:r>
          </w:p>
        </w:tc>
        <w:tc>
          <w:tcPr>
            <w:tcW w:type="dxa" w:w="5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Claim Google Business profile first, then add to Railway env vars</w:t>
            </w:r>
          </w:p>
        </w:tc>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Not yet set</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4D6" w:color="auto" w:val="clear"/>
            <w:tcMar>
              <w:top w:type="dxa" w:w="120"/>
              <w:left w:type="dxa" w:w="180"/>
              <w:bottom w:type="dxa" w:w="120"/>
              <w:right w:type="dxa" w:w="180"/>
            </w:tcMar>
          </w:tcPr>
          <w:p>
            <w:pPr>
              <w:spacing w:after="60"/>
            </w:pPr>
            <w:r>
              <w:rPr>
                <w:rFonts w:ascii="Arial" w:cs="Arial" w:eastAsia="Arial" w:hAnsi="Arial"/>
                <w:b/>
                <w:bCs/>
                <w:color w:val="1F3A5F"/>
                <w:sz w:val="22"/>
                <w:szCs w:val="22"/>
              </w:rPr>
              <w:t xml:space="preserve">⚠ RAILWAY CRITICAL</w:t>
            </w:r>
          </w:p>
          <w:p>
            <w:pPr>
              <w:spacing w:after="0"/>
            </w:pPr>
            <w:r>
              <w:rPr>
                <w:rFonts w:ascii="Arial" w:cs="Arial" w:eastAsia="Arial" w:hAnsi="Arial"/>
                <w:color w:val="1A1A1A"/>
                <w:sz w:val="22"/>
                <w:szCs w:val="22"/>
              </w:rPr>
              <w:t xml:space="preserve">Never wrap Railway env var values in quotes. KEY=value not KEY="value". Quoted values broke ANTHROPIC_API_KEY auth. This has caused failures before.</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3. Agent Roster (18 Active of 25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Division</w:t>
            </w:r>
          </w:p>
        </w:tc>
        <w:tc>
          <w:tcPr>
            <w:tcW w:type="dxa" w:w="4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Agents</w:t>
            </w:r>
          </w:p>
        </w:tc>
        <w:tc>
          <w:tcPr>
            <w:tcW w:type="dxa" w:w="30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Schedules</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 (CFO)</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Senior Bookkeeper, Ledger Specialist, Reconciliation Agent, AP Specialist, AR Specialist, Payroll, Reporter, Tax Liaison, Billing &amp; Invoicing</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Sentinel 6am daily; AP 6:30am daily; Tax 7am daily; Senior Bookkeeper digest Mon 8am</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Operations (COO)</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Sentinel, Onboarding, Quality Control, Audit &amp; Compliance, Knowledge Base Manager</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QC spot-check 7:30am Mon-Fri; QC weekly Fri 9am; Audit &amp; Compliance Mon 10:15am</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Revenue (CRO)</w:t>
            </w:r>
          </w:p>
        </w:tc>
        <w:tc>
          <w:tcPr>
            <w:tcW w:type="dxa" w:w="4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SDR (Laura), Client Success Manager, Referral &amp; Reviews, Reactivation</w:t>
            </w:r>
          </w:p>
        </w:tc>
        <w:tc>
          <w:tcPr>
            <w:tcW w:type="dxa" w:w="30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Referral &amp; Reviews Tue 9am; Reactivation 1st of month 9am</w:t>
            </w:r>
          </w:p>
        </w:tc>
      </w:tr>
      <w:tr>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Dormant</w:t>
            </w:r>
          </w:p>
        </w:tc>
        <w:tc>
          <w:tcPr>
            <w:tcW w:type="dxa" w:w="4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 Health Monitor (enable at 5 paying clients), Sales Outreach (50+ leads)</w:t>
            </w:r>
          </w:p>
        </w:tc>
        <w:tc>
          <w:tcPr>
            <w:tcW w:type="dxa" w:w="30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 Health Monitor cron: 0 15 * * 1 (Mon 8am Arizona)</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4. Build Status — All Horizons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Horizon</w:t>
            </w:r>
          </w:p>
        </w:tc>
        <w:tc>
          <w:tcPr>
            <w:tcW w:type="dxa" w:w="1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7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Summary</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H1 Foundation</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Done</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GHL webhooks, Paperclip setup, dual-path auth, workspace registry</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H2 Accounting Core</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Done</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Xero + QBO OAuth, Sentinel, Ledger Specialist, Reconciliation, Senior Bookkeeper, KB Manager</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H3 Operations</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Done</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Dashboard, weekly digest, budget guardrails, diagnostic CRO funnel, nurture, SDR Laura, Reactivation</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H4 Full Platform</w:t>
            </w:r>
          </w:p>
        </w:tc>
        <w:tc>
          <w:tcPr>
            <w:tcW w:type="dxa" w:w="1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Done</w:t>
            </w:r>
          </w:p>
        </w:tc>
        <w:tc>
          <w:tcPr>
            <w:tcW w:type="dxa" w:w="5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 portal (slug URLs), 6 new agents, Railway migration, multi-tenant OAuth (H4-14), AR payment date intelligence</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H4 Deferred</w:t>
            </w:r>
          </w:p>
        </w:tc>
        <w:tc>
          <w:tcPr>
            <w:tcW w:type="dxa" w:w="1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Scale</w:t>
            </w:r>
          </w:p>
        </w:tc>
        <w:tc>
          <w:tcPr>
            <w:tcW w:type="dxa" w:w="57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 Outreach (50+ leads), Scale Pattern (50 clients), KB rules DB table</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5. Critical IDs &amp; References</w:t>
      </w:r>
    </w:p>
    <w:p>
      <w:pPr>
        <w:pStyle w:val="Heading2"/>
        <w:spacing w:after="120" w:before="240"/>
      </w:pPr>
      <w:r>
        <w:rPr>
          <w:rFonts w:ascii="Arial" w:cs="Arial" w:eastAsia="Arial" w:hAnsi="Arial"/>
          <w:b/>
          <w:bCs/>
          <w:color w:val="1F3A5F"/>
          <w:sz w:val="26"/>
          <w:szCs w:val="26"/>
        </w:rPr>
        <w:t xml:space="preserve">Agent IDs (Key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Agent</w:t>
            </w:r>
          </w:p>
        </w:tc>
        <w:tc>
          <w:tcPr>
            <w:tcW w:type="dxa" w:w="71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Paperclip ID</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Onboarding</w:t>
            </w:r>
          </w:p>
        </w:tc>
        <w:tc>
          <w:tcPr>
            <w:tcW w:type="dxa" w:w="7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2ae62352-b235-417f-ae97-99df11414ebb (maxTurnsPerRun: 40)</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SDR (Laura)</w:t>
            </w:r>
          </w:p>
        </w:tc>
        <w:tc>
          <w:tcPr>
            <w:tcW w:type="dxa" w:w="7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2b4d27f8-5893-481c-a984-9203f4f1af8e</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All others</w:t>
            </w:r>
          </w:p>
        </w:tc>
        <w:tc>
          <w:tcPr>
            <w:tcW w:type="dxa" w:w="71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Query: SELECT id, name FROM agents WHERE company_id = 'f60117de-...' ORDER BY name</w:t>
            </w:r>
          </w:p>
        </w:tc>
      </w:tr>
    </w:tbl>
    <w:p>
      <w:pPr>
        <w:spacing w:after="12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1F3A5F"/>
          <w:sz w:val="26"/>
          <w:szCs w:val="26"/>
        </w:rPr>
        <w:t xml:space="preserve">Beta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Property</w:t>
            </w:r>
          </w:p>
        </w:tc>
        <w:tc>
          <w:tcPr>
            <w:tcW w:type="dxa" w:w="35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Enyrgy Inc</w:t>
            </w:r>
          </w:p>
        </w:tc>
        <w:tc>
          <w:tcPr>
            <w:tcW w:type="dxa" w:w="35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Anthem One Inc</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GHL Contact ID</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mjXIoxspbjOEIzXKfkMa</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cEzH3PVwHfqeGdy0QkNG</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Email</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scott@enyrgy.com</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scott@anthemone.com</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Xero</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Connected (realm 07d8f5fa-be97-4787-aa47-a853ab6e2675)</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Not connected</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Portal</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https://api.ledgerixpro.com/portal/enyrgy-inc</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Pending Xero connection</w:t>
            </w:r>
          </w:p>
        </w:tc>
      </w:tr>
      <w:tr>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Tags</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client-active, beta-client, icp-qualified, sdr-ready</w:t>
            </w:r>
          </w:p>
        </w:tc>
        <w:tc>
          <w:tcPr>
            <w:tcW w:type="dxa" w:w="35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client-active, beta-client</w:t>
            </w:r>
          </w:p>
        </w:tc>
      </w:tr>
      <w:tr>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Type</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manufacturing</w:t>
            </w:r>
          </w:p>
        </w:tc>
        <w:tc>
          <w:tcPr>
            <w:tcW w:type="dxa" w:w="35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manufacturing</w:t>
            </w:r>
          </w:p>
        </w:tc>
      </w:tr>
    </w:tbl>
    <w:p>
      <w:pPr>
        <w:spacing w:after="12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1F3A5F"/>
          <w:sz w:val="26"/>
          <w:szCs w:val="26"/>
        </w:rPr>
        <w:t xml:space="preserve">GHL Custom Fields &amp;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 / Pipeline</w:t>
            </w:r>
          </w:p>
        </w:tc>
        <w:tc>
          <w:tcPr>
            <w:tcW w:type="dxa" w:w="59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r>
      <w:tr>
        <w:tc>
          <w:tcPr>
            <w:tcW w:type="dxa" w:w="3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service_tier field</w:t>
            </w:r>
          </w:p>
        </w:tc>
        <w:tc>
          <w:tcPr>
            <w:tcW w:type="dxa" w:w="5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Dh5rwdlahz6a37BAQDIs</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client_type field</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Cf539co3LHJrm6wLAJQJ</w:t>
            </w:r>
          </w:p>
        </w:tc>
      </w:tr>
      <w:tr>
        <w:tc>
          <w:tcPr>
            <w:tcW w:type="dxa" w:w="3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ledgerix_workspace_id field</w:t>
            </w:r>
          </w:p>
        </w:tc>
        <w:tc>
          <w:tcPr>
            <w:tcW w:type="dxa" w:w="5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vmAT4OjG10QboXA2Jqjs (vestigial post-H4-14, retained for compat)</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nurture_month field</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sMQegZrU2giDsyaNKnjt</w:t>
            </w:r>
          </w:p>
        </w:tc>
      </w:tr>
      <w:tr>
        <w:tc>
          <w:tcPr>
            <w:tcW w:type="dxa" w:w="3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Sales Pipeline</w:t>
            </w:r>
          </w:p>
        </w:tc>
        <w:tc>
          <w:tcPr>
            <w:tcW w:type="dxa" w:w="5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dtgrQV0u9DB5EmxJGY9K</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Clients Pipeline</w:t>
            </w:r>
          </w:p>
        </w:tc>
        <w:tc>
          <w:tcPr>
            <w:tcW w:type="dxa" w:w="5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EOq8U8BCqRMX9kM5g2qS</w:t>
            </w:r>
          </w:p>
        </w:tc>
      </w:tr>
      <w:tr>
        <w:tc>
          <w:tcPr>
            <w:tcW w:type="dxa" w:w="3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Churn Pipeline</w:t>
            </w:r>
          </w:p>
        </w:tc>
        <w:tc>
          <w:tcPr>
            <w:tcW w:type="dxa" w:w="59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A4SSmXmDnwPKGfxKcvut</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6. Service Tiers &amp; Pricing</w:t>
      </w:r>
    </w:p>
    <w:p>
      <w:pPr>
        <w:spacing w:after="120" w:before="0"/>
      </w:pPr>
      <w:r>
        <w:rPr>
          <w:rFonts w:ascii="Arial" w:cs="Arial" w:eastAsia="Arial" w:hAnsi="Arial"/>
          <w:b/>
          <w:bCs/>
          <w:color w:val="2E75B6"/>
          <w:sz w:val="22"/>
          <w:szCs w:val="22"/>
        </w:rPr>
        <w:t xml:space="preserve">Updated May 17, 2026. </w:t>
      </w:r>
      <w:r>
        <w:rPr>
          <w:rFonts w:ascii="Arial" w:cs="Arial" w:eastAsia="Arial" w:hAnsi="Arial"/>
          <w:color w:val="1A1A1A"/>
          <w:sz w:val="22"/>
          <w:szCs w:val="22"/>
        </w:rPr>
        <w:t xml:space="preserve">Growth Engine Standard moved from $499 to $599 and Scale-Up repriced to $999/$1,299 to match market positioning for specialist trades and agency bookkeeping. First 10 clients receive Charter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80"/>
        <w:gridCol w:w="1480"/>
        <w:gridCol w:w="2400"/>
      </w:tblGrid>
      <w:tr>
        <w:trPr>
          <w:tblHeader/>
        </w:trPr>
        <w:tc>
          <w:tcPr>
            <w:tcW w:type="dxa" w:w="1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Target</w:t>
            </w:r>
          </w:p>
        </w:tc>
        <w:tc>
          <w:tcPr>
            <w:tcW w:type="dxa" w:w="14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Charter</w:t>
            </w:r>
          </w:p>
        </w:tc>
        <w:tc>
          <w:tcPr>
            <w:tcW w:type="dxa" w:w="148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Standard</w:t>
            </w:r>
          </w:p>
        </w:tc>
        <w:tc>
          <w:tcPr>
            <w:tcW w:type="dxa" w:w="24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 Features</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Foundation</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Freelancers &amp; Micro-business</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$199/mo</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$299/mo</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bookkeeping, monthly P&amp;L, tax deadline alerts</w:t>
            </w:r>
          </w:p>
        </w:tc>
      </w:tr>
      <w:tr>
        <w:tc>
          <w:tcPr>
            <w:tcW w:type="dxa" w:w="18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Growth Engine</w:t>
            </w:r>
          </w:p>
        </w:tc>
        <w:tc>
          <w:tcPr>
            <w:tcW w:type="dxa" w:w="22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Local Trades &amp; Service businesses</w:t>
            </w:r>
          </w:p>
        </w:tc>
        <w:tc>
          <w:tcPr>
            <w:tcW w:type="dxa" w:w="148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$399/mo</w:t>
            </w:r>
          </w:p>
        </w:tc>
        <w:tc>
          <w:tcPr>
            <w:tcW w:type="dxa" w:w="148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b/>
                <w:bCs/>
                <w:color w:val="1F3A5F"/>
                <w:sz w:val="20"/>
                <w:szCs w:val="20"/>
              </w:rPr>
              <w:t xml:space="preserve">$599/mo</w:t>
            </w:r>
          </w:p>
        </w:tc>
        <w:tc>
          <w:tcPr>
            <w:tcW w:type="dxa" w:w="240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Foundation + job costing, ROC license tracking, TPT compliance</w:t>
            </w:r>
          </w:p>
        </w:tc>
      </w:tr>
      <w:tr>
        <w:tc>
          <w:tcPr>
            <w:tcW w:type="dxa" w:w="1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The Scale-Up</w:t>
            </w:r>
          </w:p>
        </w:tc>
        <w:tc>
          <w:tcPr>
            <w:tcW w:type="dxa" w:w="22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Agencies &amp; Law Firms</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$999/mo</w:t>
            </w:r>
          </w:p>
        </w:tc>
        <w:tc>
          <w:tcPr>
            <w:tcW w:type="dxa" w:w="148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b/>
                <w:bCs/>
                <w:color w:val="1A1A1A"/>
                <w:sz w:val="20"/>
                <w:szCs w:val="20"/>
              </w:rPr>
              <w:t xml:space="preserve">$1,299/mo</w:t>
            </w:r>
          </w:p>
        </w:tc>
        <w:tc>
          <w:tcPr>
            <w:tcW w:type="dxa" w:w="24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Growth Engine + trust account compliance, E&amp;O tracking, multi-entity</w:t>
            </w:r>
          </w:p>
        </w:tc>
      </w:tr>
    </w:tbl>
    <w:p>
      <w:pPr>
        <w:spacing w:after="120" w:before="240"/>
      </w:pPr>
      <w:r>
        <w:rPr>
          <w:rFonts w:ascii="Arial" w:cs="Arial" w:eastAsia="Arial" w:hAnsi="Arial"/>
          <w:b/>
          <w:bCs/>
          <w:color w:val="1F3A5F"/>
          <w:sz w:val="24"/>
          <w:szCs w:val="24"/>
        </w:rPr>
        <w:t xml:space="preserve">Setup &amp; Migration Fee</w:t>
      </w:r>
    </w:p>
    <w:p>
      <w:pPr>
        <w:spacing w:after="120" w:before="0"/>
      </w:pPr>
      <w:r>
        <w:rPr>
          <w:rFonts w:ascii="Arial" w:cs="Arial" w:eastAsia="Arial" w:hAnsi="Arial"/>
          <w:color w:val="1A1A1A"/>
          <w:sz w:val="22"/>
          <w:szCs w:val="22"/>
        </w:rPr>
        <w:t xml:space="preserve">All clients (including Charter) pay a one-time setup fee at onboarding. The fee covers chart of accounts review, vendor categorization rules, platform connection, workflow training, and (for prospects not currently on QBO or Xero) data migration. No waivers.</w:t>
      </w:r>
    </w:p>
    <w:tbl>
      <w:tblPr>
        <w:tblW w:type="dxa" w:w="600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3000"/>
      </w:tblGrid>
      <w:tr>
        <w:tc>
          <w:tcPr>
            <w:tcW w:type="dxa" w:w="3000"/>
            <w:tcBorders>
              <w:top w:val="single" w:color="CCCCCC" w:sz="4"/>
              <w:left w:val="single" w:color="CCCCCC" w:sz="4"/>
              <w:bottom w:val="single" w:color="CCCCCC" w:sz="4"/>
              <w:right w:val="single" w:color="CCCCCC" w:sz="4"/>
            </w:tcBorders>
            <w:shd w:fill="E7F0F9" w:val="clear"/>
            <w:tcMar>
              <w:top w:type="dxa" w:w="80"/>
              <w:left w:type="dxa" w:w="120"/>
              <w:bottom w:type="dxa" w:w="80"/>
              <w:right w:type="dxa" w:w="120"/>
            </w:tcMar>
          </w:tcPr>
          <w:p>
            <w:pPr>
              <w:spacing w:after="0"/>
            </w:pPr>
            <w:r>
              <w:rPr>
                <w:rFonts w:ascii="Arial" w:cs="Arial" w:eastAsia="Arial" w:hAnsi="Arial"/>
                <w:b/>
                <w:bCs/>
                <w:color w:val="1F3A5F"/>
                <w:sz w:val="22"/>
                <w:szCs w:val="22"/>
              </w:rPr>
              <w:t xml:space="preserve">Tier</w:t>
            </w:r>
          </w:p>
        </w:tc>
        <w:tc>
          <w:tcPr>
            <w:tcW w:type="dxa" w:w="3000"/>
            <w:tcBorders>
              <w:top w:val="single" w:color="CCCCCC" w:sz="4"/>
              <w:left w:val="single" w:color="CCCCCC" w:sz="4"/>
              <w:bottom w:val="single" w:color="CCCCCC" w:sz="4"/>
              <w:right w:val="single" w:color="CCCCCC" w:sz="4"/>
            </w:tcBorders>
            <w:shd w:fill="E7F0F9" w:val="clear"/>
            <w:tcMar>
              <w:top w:type="dxa" w:w="80"/>
              <w:left w:type="dxa" w:w="120"/>
              <w:bottom w:type="dxa" w:w="80"/>
              <w:right w:type="dxa" w:w="120"/>
            </w:tcMar>
          </w:tcPr>
          <w:p>
            <w:pPr>
              <w:spacing w:after="0"/>
            </w:pPr>
            <w:r>
              <w:rPr>
                <w:rFonts w:ascii="Arial" w:cs="Arial" w:eastAsia="Arial" w:hAnsi="Arial"/>
                <w:b/>
                <w:bCs/>
                <w:color w:val="1F3A5F"/>
                <w:sz w:val="22"/>
                <w:szCs w:val="22"/>
              </w:rPr>
              <w:t xml:space="preserve">Setup Fee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Foundation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$249</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Growth Engine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$349</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color w:val="1A1A1A"/>
                <w:sz w:val="22"/>
                <w:szCs w:val="22"/>
              </w:rPr>
              <w:t xml:space="preserve">The Scale-Up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A1A1A"/>
                <w:sz w:val="22"/>
                <w:szCs w:val="22"/>
              </w:rPr>
              <w:t xml:space="preserve">$1,200</w:t>
            </w:r>
          </w:p>
        </w:tc>
      </w:tr>
    </w:tbl>
    <w:p>
      <w:pPr>
        <w:spacing w:after="120" w:before="120"/>
      </w:pPr>
      <w:r>
        <w:rPr>
          <w:rFonts w:ascii="Arial" w:cs="Arial" w:eastAsia="Arial" w:hAnsi="Arial"/>
          <w:color w:val="1A1A1A"/>
          <w:sz w:val="22"/>
          <w:szCs w:val="22"/>
        </w:rPr>
        <w:t xml:space="preserve">The setup fee applies once at onboarding. It is non-refundable except per the 30-day satisfaction guarantee (see Strategic Plan).</w:t>
      </w:r>
    </w:p>
    <w:p>
      <w:pPr>
        <w:spacing w:after="120" w:before="0"/>
      </w:pPr>
      <w:r>
        <w:rPr>
          <w:rFonts w:ascii="Arial" w:cs="Arial" w:eastAsia="Arial" w:hAnsi="Arial"/>
          <w:color w:val="1A1A1A"/>
          <w:sz w:val="22"/>
          <w:szCs w:val="22"/>
        </w:rPr>
        <w:t xml:space="preserve"/>
      </w:r>
    </w:p>
    <w:p>
      <w:pPr>
        <w:pStyle w:val="Heading2"/>
        <w:spacing w:after="120" w:before="240"/>
      </w:pPr>
      <w:r>
        <w:rPr>
          <w:rFonts w:ascii="Arial" w:cs="Arial" w:eastAsia="Arial" w:hAnsi="Arial"/>
          <w:b/>
          <w:bCs/>
          <w:color w:val="1F3A5F"/>
          <w:sz w:val="26"/>
          <w:szCs w:val="26"/>
        </w:rPr>
        <w:t xml:space="preserve">Tier Qualifiers</w:t>
      </w:r>
    </w:p>
    <w:p>
      <w:pPr>
        <w:spacing w:after="120" w:before="0"/>
      </w:pPr>
      <w:r>
        <w:rPr>
          <w:rFonts w:ascii="Arial" w:cs="Arial" w:eastAsia="Arial" w:hAnsi="Arial"/>
          <w:color w:val="1A1A1A"/>
          <w:sz w:val="22"/>
          <w:szCs w:val="22"/>
        </w:rPr>
        <w:t xml:space="preserve">Industry framing drives the marketing pitch; the qualifiers below drive the price quoted at the discovery call. Most qualifiers must match to land in a given tier; if a client splits across tiers (e.g. Growth Engine on volume but Scale-Up on entity count), price to the higher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Qualifier</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Foundation</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Growth Engine</w:t>
            </w:r>
          </w:p>
        </w:tc>
        <w:tc>
          <w:tcPr>
            <w:tcW w:type="dxa" w:w="224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jc w:val="center"/>
            </w:pPr>
            <w:r>
              <w:rPr>
                <w:rFonts w:ascii="Arial" w:cs="Arial" w:eastAsia="Arial" w:hAnsi="Arial"/>
                <w:b/>
                <w:bCs/>
                <w:color w:val="FFFFFF"/>
                <w:sz w:val="20"/>
                <w:szCs w:val="20"/>
              </w:rPr>
              <w:t xml:space="preserve">Scale-Up</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Monthly transaction volume</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Up to 75</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75–300</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300+</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Bank/credit accounts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1–2</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2–5</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5+</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Employees on payroll</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0–2</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3–15</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10–25</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Accounting integrations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1 platform</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2–3 platforms (FSM, etc.)</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3+ platforms</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Annual revenue</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Under $500K</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$500K–$3M</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$2M+</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Job costing required</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r>
      <w:tr>
        <w:tc>
          <w:tcPr>
            <w:tcW w:type="dxa" w:w="26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Trust/multi-entity</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FF4D6"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w:t>
            </w:r>
          </w:p>
        </w:tc>
        <w:tc>
          <w:tcPr>
            <w:tcW w:type="dxa" w:w="224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Yes</w:t>
            </w:r>
          </w:p>
        </w:tc>
      </w:tr>
      <w:tr>
        <w:tc>
          <w:tcPr>
            <w:tcW w:type="dxa" w:w="26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Industry flags</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None</w:t>
            </w:r>
          </w:p>
        </w:tc>
        <w:tc>
          <w:tcPr>
            <w:tcW w:type="dxa" w:w="2240"/>
            <w:tcBorders>
              <w:top w:val="single" w:color="CCCCCC" w:sz="4"/>
              <w:left w:val="single" w:color="CCCCCC" w:sz="4"/>
              <w:bottom w:val="single" w:color="CCCCCC" w:sz="4"/>
              <w:right w:val="single" w:color="CCCCCC" w:sz="4"/>
            </w:tcBorders>
            <w:shd w:fill="FFFAEB"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ROC, TPT, seasonal</w:t>
            </w:r>
          </w:p>
        </w:tc>
        <w:tc>
          <w:tcPr>
            <w:tcW w:type="dxa" w:w="224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jc w:val="center"/>
            </w:pPr>
            <w:r>
              <w:rPr>
                <w:rFonts w:ascii="Arial" w:cs="Arial" w:eastAsia="Arial" w:hAnsi="Arial"/>
                <w:color w:val="1A1A1A"/>
                <w:sz w:val="20"/>
                <w:szCs w:val="20"/>
              </w:rPr>
              <w:t xml:space="preserve">IOLTA, E&amp;O, accrual</w:t>
            </w:r>
          </w:p>
        </w:tc>
      </w:tr>
    </w:tbl>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4D6" w:color="auto" w:val="clear"/>
            <w:tcMar>
              <w:top w:type="dxa" w:w="120"/>
              <w:left w:type="dxa" w:w="180"/>
              <w:bottom w:type="dxa" w:w="120"/>
              <w:right w:type="dxa" w:w="180"/>
            </w:tcMar>
          </w:tcPr>
          <w:p>
            <w:pPr>
              <w:spacing w:after="60"/>
            </w:pPr>
            <w:r>
              <w:rPr>
                <w:rFonts w:ascii="Arial" w:cs="Arial" w:eastAsia="Arial" w:hAnsi="Arial"/>
                <w:b/>
                <w:bCs/>
                <w:color w:val="1F3A5F"/>
                <w:sz w:val="22"/>
                <w:szCs w:val="22"/>
              </w:rPr>
              <w:t xml:space="preserve">CHARTER PRICING WINDOW</w:t>
            </w:r>
          </w:p>
          <w:p>
            <w:pPr>
              <w:spacing w:after="120"/>
            </w:pPr>
            <w:r>
              <w:rPr>
                <w:rFonts w:ascii="Arial" w:cs="Arial" w:eastAsia="Arial" w:hAnsi="Arial"/>
                <w:color w:val="1A1A1A"/>
                <w:sz w:val="22"/>
                <w:szCs w:val="22"/>
              </w:rPr>
              <w:t xml:space="preserve">Charter pricing applies to the first 10 paying clients only. After client #10, the Charter column closes and new clients onboard at Standard pricing.</w:t>
            </w:r>
          </w:p>
          <w:p>
            <w:pPr>
              <w:spacing w:after="120"/>
            </w:pPr>
            <w:r>
              <w:rPr>
                <w:rFonts w:ascii="Arial" w:cs="Arial" w:eastAsia="Arial" w:hAnsi="Arial"/>
                <w:b/>
                <w:bCs/>
                <w:color w:val="1A1A1A"/>
                <w:sz w:val="22"/>
                <w:szCs w:val="22"/>
              </w:rPr>
              <w:t xml:space="preserve">Charter benefit follows the client across tiers.</w:t>
            </w:r>
            <w:r>
              <w:rPr>
                <w:rFonts w:ascii="Arial" w:cs="Arial" w:eastAsia="Arial" w:hAnsi="Arial"/>
                <w:color w:val="1A1A1A"/>
                <w:sz w:val="22"/>
                <w:szCs w:val="22"/>
              </w:rPr>
              <w:t xml:space="preserve"> As long as service is continuous, Charter clients keep Charter pricing for the duration of their relationship with Ledgerix Pro — even as their business grows from one tier to the next. A Foundation Charter client whose qualifiers move them to Growth Engine pays Growth Engine Charter ($399/mo), not Standard ($599/mo). Same applies for Scale-Up: Charter clients who grow into Scale-Up pay Scale-Up Charter ($999/mo), not Standard ($1,299/mo). The benefit also applies on tier downgrades: a Scale-Up Charter client whose qualifiers shrink to Growth Engine pays Growth Engine Charter, not Standard.</w:t>
            </w:r>
          </w:p>
          <w:p>
            <w:pPr>
              <w:spacing w:after="0"/>
            </w:pPr>
            <w:r>
              <w:rPr>
                <w:rFonts w:ascii="Arial" w:cs="Arial" w:eastAsia="Arial" w:hAnsi="Arial"/>
                <w:b/>
                <w:bCs/>
                <w:color w:val="1A1A1A"/>
                <w:sz w:val="22"/>
                <w:szCs w:val="22"/>
              </w:rPr>
              <w:t xml:space="preserve">Continuity rule.</w:t>
            </w:r>
            <w:r>
              <w:rPr>
                <w:rFonts w:ascii="Arial" w:cs="Arial" w:eastAsia="Arial" w:hAnsi="Arial"/>
                <w:color w:val="1A1A1A"/>
                <w:sz w:val="22"/>
                <w:szCs w:val="22"/>
              </w:rPr>
              <w:t xml:space="preserve"> If a Charter client cancels service and later returns, they re-enter at Standard pricing for whichever tier they qualify for. The Charter benefit is granted to the first 10 paying clients as a thank-you for choosing Ledgerix Pro early; it is not transferable, sellable, or recoverable after cancellation.</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7. Architecture Patterns to Know</w:t>
      </w:r>
    </w:p>
    <w:p>
      <w:pPr>
        <w:pStyle w:val="Heading2"/>
        <w:spacing w:after="120" w:before="240"/>
      </w:pPr>
      <w:r>
        <w:rPr>
          <w:rFonts w:ascii="Arial" w:cs="Arial" w:eastAsia="Arial" w:hAnsi="Arial"/>
          <w:b/>
          <w:bCs/>
          <w:color w:val="1F3A5F"/>
          <w:sz w:val="26"/>
          <w:szCs w:val="26"/>
        </w:rPr>
        <w:t xml:space="preserve">Multi-Tenant OAuth (H4-14)</w:t>
      </w:r>
    </w:p>
    <w:p>
      <w:pPr>
        <w:pStyle w:val="ListParagraph"/>
        <w:numPr>
          <w:ilvl w:val="0"/>
          <w:numId w:val="2"/>
        </w:numPr>
        <w:spacing w:after="80"/>
      </w:pPr>
      <w:r>
        <w:rPr>
          <w:rFonts w:ascii="Arial" w:cs="Arial" w:eastAsia="Arial" w:hAnsi="Arial"/>
          <w:color w:val="1A1A1A"/>
          <w:sz w:val="22"/>
          <w:szCs w:val="22"/>
        </w:rPr>
        <w:t xml:space="preserve">Each client has their own Xero/QBO connection keyed by GHL contact_id in accounting_connections table</w:t>
      </w:r>
    </w:p>
    <w:p>
      <w:pPr>
        <w:pStyle w:val="ListParagraph"/>
        <w:numPr>
          <w:ilvl w:val="0"/>
          <w:numId w:val="2"/>
        </w:numPr>
        <w:spacing w:after="80"/>
      </w:pPr>
      <w:r>
        <w:rPr>
          <w:rFonts w:ascii="Arial" w:cs="Arial" w:eastAsia="Arial" w:hAnsi="Arial"/>
          <w:color w:val="1A1A1A"/>
          <w:sz w:val="22"/>
          <w:szCs w:val="22"/>
        </w:rPr>
        <w:t xml:space="preserve">Connect URL: https://api.ledgerixpro.com/api/oauth/xero/connect?contactId={ghlContactId}</w:t>
      </w:r>
    </w:p>
    <w:p>
      <w:pPr>
        <w:pStyle w:val="ListParagraph"/>
        <w:numPr>
          <w:ilvl w:val="0"/>
          <w:numId w:val="2"/>
        </w:numPr>
        <w:spacing w:after="80"/>
      </w:pPr>
      <w:r>
        <w:rPr>
          <w:rFonts w:ascii="Arial" w:cs="Arial" w:eastAsia="Arial" w:hAnsi="Arial"/>
          <w:color w:val="1A1A1A"/>
          <w:sz w:val="22"/>
          <w:szCs w:val="22"/>
        </w:rPr>
        <w:t xml:space="preserve">All agents call: getNewTransactions(db, COMPANY_ID, contact.id, sinceDate)</w:t>
      </w:r>
    </w:p>
    <w:p>
      <w:pPr>
        <w:pStyle w:val="ListParagraph"/>
        <w:numPr>
          <w:ilvl w:val="0"/>
          <w:numId w:val="2"/>
        </w:numPr>
        <w:spacing w:after="80"/>
      </w:pPr>
      <w:r>
        <w:rPr>
          <w:rFonts w:ascii="Arial" w:cs="Arial" w:eastAsia="Arial" w:hAnsi="Arial"/>
          <w:color w:val="1A1A1A"/>
          <w:sz w:val="22"/>
          <w:szCs w:val="22"/>
        </w:rPr>
        <w:t xml:space="preserve">Unique constraint: (company_id, platform, contact_id) with NULLS NOT DISTINCT</w:t>
      </w:r>
    </w:p>
    <w:p>
      <w:pPr>
        <w:pStyle w:val="Heading2"/>
        <w:spacing w:after="120" w:before="240"/>
      </w:pPr>
      <w:r>
        <w:rPr>
          <w:rFonts w:ascii="Arial" w:cs="Arial" w:eastAsia="Arial" w:hAnsi="Arial"/>
          <w:b/>
          <w:bCs/>
          <w:color w:val="1F3A5F"/>
          <w:sz w:val="26"/>
          <w:szCs w:val="26"/>
        </w:rPr>
        <w:t xml:space="preserve">Slug-Based Client Portal</w:t>
      </w:r>
    </w:p>
    <w:p>
      <w:pPr>
        <w:pStyle w:val="ListParagraph"/>
        <w:numPr>
          <w:ilvl w:val="0"/>
          <w:numId w:val="2"/>
        </w:numPr>
        <w:spacing w:after="80"/>
      </w:pPr>
      <w:r>
        <w:rPr>
          <w:rFonts w:ascii="Arial" w:cs="Arial" w:eastAsia="Arial" w:hAnsi="Arial"/>
          <w:color w:val="1A1A1A"/>
          <w:sz w:val="22"/>
          <w:szCs w:val="22"/>
        </w:rPr>
        <w:t xml:space="preserve">https://api.ledgerixpro.com/portal/enyrgy-inc → 302 redirect → /portal/mjXIoxspbjOEIzXKfkMa</w:t>
      </w:r>
    </w:p>
    <w:p>
      <w:pPr>
        <w:pStyle w:val="ListParagraph"/>
        <w:numPr>
          <w:ilvl w:val="0"/>
          <w:numId w:val="2"/>
        </w:numPr>
        <w:spacing w:after="80"/>
      </w:pPr>
      <w:r>
        <w:rPr>
          <w:rFonts w:ascii="Arial" w:cs="Arial" w:eastAsia="Arial" w:hAnsi="Arial"/>
          <w:color w:val="1A1A1A"/>
          <w:sz w:val="22"/>
          <w:szCs w:val="22"/>
        </w:rPr>
        <w:t xml:space="preserve">Slug = company name lowercased, spaces → hyphens, special chars stripped. Automatic for all clients.</w:t>
      </w:r>
    </w:p>
    <w:p>
      <w:pPr>
        <w:pStyle w:val="Heading2"/>
        <w:spacing w:after="120" w:before="240"/>
      </w:pPr>
      <w:r>
        <w:rPr>
          <w:rFonts w:ascii="Arial" w:cs="Arial" w:eastAsia="Arial" w:hAnsi="Arial"/>
          <w:b/>
          <w:bCs/>
          <w:color w:val="1F3A5F"/>
          <w:sz w:val="26"/>
          <w:szCs w:val="26"/>
        </w:rPr>
        <w:t xml:space="preserve">Escalation Chain (All Agents)</w:t>
      </w:r>
    </w:p>
    <w:p>
      <w:pPr>
        <w:spacing w:after="120" w:before="0"/>
      </w:pPr>
      <w:r>
        <w:rPr>
          <w:rFonts w:ascii="Arial" w:cs="Arial" w:eastAsia="Arial" w:hAnsi="Arial"/>
          <w:b/>
          <w:bCs/>
          <w:color w:val="1F3A5F"/>
          <w:sz w:val="24"/>
          <w:szCs w:val="24"/>
        </w:rPr>
        <w:t xml:space="preserve">Senior Bookkeeper → CFO → Scott</w:t>
      </w:r>
    </w:p>
    <w:p>
      <w:pPr>
        <w:spacing w:after="120" w:before="0"/>
      </w:pPr>
      <w:r>
        <w:rPr>
          <w:rFonts w:ascii="Arial" w:cs="Arial" w:eastAsia="Arial" w:hAnsi="Arial"/>
          <w:color w:val="1A1A1A"/>
          <w:sz w:val="22"/>
          <w:szCs w:val="22"/>
        </w:rPr>
        <w:t xml:space="preserve">No agent contacts Scott directly for routine issues. Scott only for Level 3 events (fraud, breach, cancellation).</w:t>
      </w:r>
    </w:p>
    <w:p>
      <w:pPr>
        <w:pStyle w:val="Heading2"/>
        <w:spacing w:after="120" w:before="240"/>
      </w:pPr>
      <w:r>
        <w:rPr>
          <w:rFonts w:ascii="Arial" w:cs="Arial" w:eastAsia="Arial" w:hAnsi="Arial"/>
          <w:b/>
          <w:bCs/>
          <w:color w:val="1F3A5F"/>
          <w:sz w:val="26"/>
          <w:szCs w:val="26"/>
        </w:rPr>
        <w:t xml:space="preserve">Webhook &amp; Agent Trigger Flow</w:t>
      </w:r>
    </w:p>
    <w:p>
      <w:pPr>
        <w:pStyle w:val="ListParagraph"/>
        <w:numPr>
          <w:ilvl w:val="0"/>
          <w:numId w:val="2"/>
        </w:numPr>
        <w:spacing w:after="80"/>
      </w:pPr>
      <w:r>
        <w:rPr>
          <w:rFonts w:ascii="Arial" w:cs="Arial" w:eastAsia="Arial" w:hAnsi="Arial"/>
          <w:color w:val="1A1A1A"/>
          <w:sz w:val="22"/>
          <w:szCs w:val="22"/>
        </w:rPr>
        <w:t xml:space="preserve">GHL fires webhook → /api/webhooks/ghl → Dispatcher → Paperclip creates issue → Agent wakes up</w:t>
      </w:r>
    </w:p>
    <w:p>
      <w:pPr>
        <w:pStyle w:val="ListParagraph"/>
        <w:numPr>
          <w:ilvl w:val="0"/>
          <w:numId w:val="2"/>
        </w:numPr>
        <w:spacing w:after="80"/>
      </w:pPr>
      <w:r>
        <w:rPr>
          <w:rFonts w:ascii="Arial" w:cs="Arial" w:eastAsia="Arial" w:hAnsi="Arial"/>
          <w:color w:val="1A1A1A"/>
          <w:sz w:val="22"/>
          <w:szCs w:val="22"/>
        </w:rPr>
        <w:t xml:space="preserve">Key events: contact.created, contact.updated, contact.sdr_ready, contact.replied</w:t>
      </w:r>
    </w:p>
    <w:p>
      <w:pPr>
        <w:pStyle w:val="ListParagraph"/>
        <w:numPr>
          <w:ilvl w:val="0"/>
          <w:numId w:val="2"/>
        </w:numPr>
        <w:spacing w:after="80"/>
      </w:pPr>
      <w:r>
        <w:rPr>
          <w:rFonts w:ascii="Arial" w:cs="Arial" w:eastAsia="Arial" w:hAnsi="Arial"/>
          <w:color w:val="1A1A1A"/>
          <w:sz w:val="22"/>
          <w:szCs w:val="22"/>
        </w:rPr>
        <w:t xml:space="preserve">Agents discriminate mode by issue title (e.g. 'Weekly QC Review' vs daily, 'Monthly Payroll Review' vs bi-weekly)</w:t>
      </w:r>
    </w:p>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8. Scale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6560"/>
            <w:tcBorders>
              <w:top w:val="single" w:color="CCCCCC" w:sz="4"/>
              <w:left w:val="single" w:color="CCCCCC" w:sz="4"/>
              <w:bottom w:val="single" w:color="CCCCCC" w:sz="4"/>
              <w:right w:val="single" w:color="CCCCCC" w:sz="4"/>
            </w:tcBorders>
            <w:shd w:fill="1F3A5F" w:color="auto"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 paying clients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Enable Client Health Monitor: cron 0 15 * * 1 (Monday 8am Arizona / 15:00 UTC). Register at /companies/f60117de.../routines</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10 clients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Charter pricing window closes — new clients move to Standard pricing</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Each 25-client milestone</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Revisit agent budget caps (~$1,225 at 25, ~$3,110 at 75, ~$5,480 at 150, ~$9,700 at 300)</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~50 leads</w:t>
            </w:r>
          </w:p>
        </w:tc>
        <w:tc>
          <w:tcPr>
            <w:tcW w:type="dxa" w:w="6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Enable Sales Outreach agent (H4-9)</w:t>
            </w:r>
          </w:p>
        </w:tc>
      </w:tr>
      <w:tr>
        <w:tc>
          <w:tcPr>
            <w:tcW w:type="dxa" w:w="280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~50 clients</w:t>
            </w:r>
          </w:p>
        </w:tc>
        <w:tc>
          <w:tcPr>
            <w:tcW w:type="dxa" w:w="6560"/>
            <w:tcBorders>
              <w:top w:val="single" w:color="CCCCCC" w:sz="4"/>
              <w:left w:val="single" w:color="CCCCCC" w:sz="4"/>
              <w:bottom w:val="single" w:color="CCCCCC" w:sz="4"/>
              <w:right w:val="single" w:color="CCCCCC" w:sz="4"/>
            </w:tcBorders>
            <w:shd w:fill="F2F2F2" w:color="auto" w:val="clear"/>
            <w:tcMar>
              <w:top w:type="dxa" w:w="80"/>
              <w:left w:type="dxa" w:w="120"/>
              <w:bottom w:type="dxa" w:w="80"/>
              <w:right w:type="dxa" w:w="120"/>
            </w:tcMar>
          </w:tcPr>
          <w:p>
            <w:pPr>
              <w:spacing w:after="0"/>
            </w:pPr>
            <w:r>
              <w:rPr>
                <w:rFonts w:ascii="Arial" w:cs="Arial" w:eastAsia="Arial" w:hAnsi="Arial"/>
                <w:color w:val="1A1A1A"/>
                <w:sz w:val="20"/>
                <w:szCs w:val="20"/>
              </w:rPr>
              <w:t xml:space="preserve">Scale Pattern webhooks + KB rules DB table (H4-12/13)</w:t>
            </w:r>
          </w:p>
        </w:tc>
      </w:tr>
    </w:tbl>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9. Open / Pending Items</w:t>
      </w:r>
    </w:p>
    <w:p>
      <w:pPr>
        <w:pStyle w:val="ListParagraph"/>
        <w:numPr>
          <w:ilvl w:val="0"/>
          <w:numId w:val="2"/>
        </w:numPr>
        <w:spacing w:after="80"/>
      </w:pPr>
      <w:r>
        <w:rPr>
          <w:rFonts w:ascii="Arial" w:cs="Arial" w:eastAsia="Arial" w:hAnsi="Arial"/>
          <w:color w:val="1A1A1A"/>
          <w:sz w:val="22"/>
          <w:szCs w:val="22"/>
        </w:rPr>
        <w:t xml:space="preserve">A2P SMS — GHL Trust Center approval pending (Laura's SMS outreach queued, email works fine)</w:t>
      </w:r>
    </w:p>
    <w:p>
      <w:pPr>
        <w:pStyle w:val="ListParagraph"/>
        <w:numPr>
          <w:ilvl w:val="0"/>
          <w:numId w:val="2"/>
        </w:numPr>
        <w:spacing w:after="80"/>
      </w:pPr>
      <w:r>
        <w:rPr>
          <w:rFonts w:ascii="Arial" w:cs="Arial" w:eastAsia="Arial" w:hAnsi="Arial"/>
          <w:color w:val="1A1A1A"/>
          <w:sz w:val="22"/>
          <w:szCs w:val="22"/>
        </w:rPr>
        <w:t xml:space="preserve">Google Business Profile — claim at business.google.com, then add GOOGLE_PLACE_ID to Railway env vars</w:t>
      </w:r>
    </w:p>
    <w:p>
      <w:pPr>
        <w:pStyle w:val="ListParagraph"/>
        <w:numPr>
          <w:ilvl w:val="0"/>
          <w:numId w:val="2"/>
        </w:numPr>
        <w:spacing w:after="80"/>
      </w:pPr>
      <w:r>
        <w:rPr>
          <w:rFonts w:ascii="Arial" w:cs="Arial" w:eastAsia="Arial" w:hAnsi="Arial"/>
          <w:color w:val="1A1A1A"/>
          <w:sz w:val="22"/>
          <w:szCs w:val="22"/>
        </w:rPr>
        <w:t xml:space="preserve">Anthem One Inc Xero — connection deferred (Xero auth issue, focus on Enyrgy Inc first)</w:t>
      </w:r>
    </w:p>
    <w:p>
      <w:pPr>
        <w:pStyle w:val="ListParagraph"/>
        <w:numPr>
          <w:ilvl w:val="0"/>
          <w:numId w:val="2"/>
        </w:numPr>
        <w:spacing w:after="80"/>
      </w:pPr>
      <w:r>
        <w:rPr>
          <w:rFonts w:ascii="Arial" w:cs="Arial" w:eastAsia="Arial" w:hAnsi="Arial"/>
          <w:color w:val="1A1A1A"/>
          <w:sz w:val="22"/>
          <w:szCs w:val="22"/>
        </w:rPr>
        <w:t xml:space="preserve">Client portal auth — add proper token auth when first paying client requests portal access</w:t>
      </w:r>
    </w:p>
    <w:p>
      <w:pPr>
        <w:pStyle w:val="ListParagraph"/>
        <w:numPr>
          <w:ilvl w:val="0"/>
          <w:numId w:val="2"/>
        </w:numPr>
        <w:spacing w:after="80"/>
      </w:pPr>
      <w:r>
        <w:rPr>
          <w:rFonts w:ascii="Arial" w:cs="Arial" w:eastAsia="Arial" w:hAnsi="Arial"/>
          <w:color w:val="1A1A1A"/>
          <w:sz w:val="22"/>
          <w:szCs w:val="22"/>
        </w:rPr>
        <w:t xml:space="preserve">Xero bank transactions — NOT available as webhook events (Xero limitation). Sentinel daily 6am poll handles these.</w:t>
      </w:r>
    </w:p>
    <w:p>
      <w:pPr>
        <w:spacing w:after="120" w:before="0"/>
      </w:pPr>
      <w:r>
        <w:rPr>
          <w:rFonts w:ascii="Arial" w:cs="Arial" w:eastAsia="Arial" w:hAnsi="Arial"/>
          <w:color w:val="1A1A1A"/>
          <w:sz w:val="22"/>
          <w:szCs w:val="22"/>
        </w:rPr>
        <w:t xml:space="preserve"/>
      </w:r>
    </w:p>
    <w:p>
      <w:pPr>
        <w:pStyle w:val="Heading1"/>
        <w:spacing w:after="160" w:before="320"/>
      </w:pPr>
      <w:r>
        <w:rPr>
          <w:rFonts w:ascii="Arial" w:cs="Arial" w:eastAsia="Arial" w:hAnsi="Arial"/>
          <w:b/>
          <w:bCs/>
          <w:color w:val="1F3A5F"/>
          <w:sz w:val="32"/>
          <w:szCs w:val="32"/>
        </w:rPr>
        <w:t xml:space="preserve">10. How to Help Scott Effectively</w:t>
      </w:r>
    </w:p>
    <w:p>
      <w:pPr>
        <w:pStyle w:val="ListParagraph"/>
        <w:numPr>
          <w:ilvl w:val="0"/>
          <w:numId w:val="2"/>
        </w:numPr>
        <w:spacing w:after="80"/>
      </w:pPr>
      <w:r>
        <w:rPr>
          <w:rFonts w:ascii="Arial" w:cs="Arial" w:eastAsia="Arial" w:hAnsi="Arial"/>
          <w:color w:val="1A1A1A"/>
          <w:sz w:val="22"/>
          <w:szCs w:val="22"/>
        </w:rPr>
        <w:t xml:space="preserve">Scott uses Claude Code for all code changes — give complete, ready-to-paste instructions</w:t>
      </w:r>
    </w:p>
    <w:p>
      <w:pPr>
        <w:pStyle w:val="ListParagraph"/>
        <w:numPr>
          <w:ilvl w:val="0"/>
          <w:numId w:val="2"/>
        </w:numPr>
        <w:spacing w:after="80"/>
      </w:pPr>
      <w:r>
        <w:rPr>
          <w:rFonts w:ascii="Arial" w:cs="Arial" w:eastAsia="Arial" w:hAnsi="Arial"/>
          <w:color w:val="1A1A1A"/>
          <w:sz w:val="22"/>
          <w:szCs w:val="22"/>
        </w:rPr>
        <w:t xml:space="preserve">Always check Railway env var syntax: no quotes around values (KEY=value not KEY="value")</w:t>
      </w:r>
    </w:p>
    <w:p>
      <w:pPr>
        <w:pStyle w:val="ListParagraph"/>
        <w:numPr>
          <w:ilvl w:val="0"/>
          <w:numId w:val="2"/>
        </w:numPr>
        <w:spacing w:after="80"/>
      </w:pPr>
      <w:r>
        <w:rPr>
          <w:rFonts w:ascii="Arial" w:cs="Arial" w:eastAsia="Arial" w:hAnsi="Arial"/>
          <w:color w:val="1A1A1A"/>
          <w:sz w:val="22"/>
          <w:szCs w:val="22"/>
        </w:rPr>
        <w:t xml:space="preserve">RESET.md in repo root is the authoritative recovery runbook — reference it for infrastructure questions</w:t>
      </w:r>
    </w:p>
    <w:p>
      <w:pPr>
        <w:pStyle w:val="ListParagraph"/>
        <w:numPr>
          <w:ilvl w:val="0"/>
          <w:numId w:val="2"/>
        </w:numPr>
        <w:spacing w:after="80"/>
      </w:pPr>
      <w:r>
        <w:rPr>
          <w:rFonts w:ascii="Arial" w:cs="Arial" w:eastAsia="Arial" w:hAnsi="Arial"/>
          <w:color w:val="1A1A1A"/>
          <w:sz w:val="22"/>
          <w:szCs w:val="22"/>
        </w:rPr>
        <w:t xml:space="preserve">AGENTS.md files in agents/{name}/ are authoritative for agent behavior — suggest edits there for behavioral changes</w:t>
      </w:r>
    </w:p>
    <w:p>
      <w:pPr>
        <w:pStyle w:val="ListParagraph"/>
        <w:numPr>
          <w:ilvl w:val="0"/>
          <w:numId w:val="2"/>
        </w:numPr>
        <w:spacing w:after="80"/>
      </w:pPr>
      <w:r>
        <w:rPr>
          <w:rFonts w:ascii="Arial" w:cs="Arial" w:eastAsia="Arial" w:hAnsi="Arial"/>
          <w:color w:val="1A1A1A"/>
          <w:sz w:val="22"/>
          <w:szCs w:val="22"/>
        </w:rPr>
        <w:t xml:space="preserve">When creating Paperclip issues via API: POST to /api/companies/{companyId}/issues with assigneeAgentId and status: in_progress</w:t>
      </w:r>
    </w:p>
    <w:p>
      <w:pPr>
        <w:pStyle w:val="ListParagraph"/>
        <w:numPr>
          <w:ilvl w:val="0"/>
          <w:numId w:val="2"/>
        </w:numPr>
        <w:spacing w:after="80"/>
      </w:pPr>
      <w:r>
        <w:rPr>
          <w:rFonts w:ascii="Arial" w:cs="Arial" w:eastAsia="Arial" w:hAnsi="Arial"/>
          <w:color w:val="1A1A1A"/>
          <w:sz w:val="22"/>
          <w:szCs w:val="22"/>
        </w:rPr>
        <w:t xml:space="preserve">Onboarding agent has maxTurnsPerRun: 40 in DB — if it fails with error_max_turns, UPDATE in DB, not code</w:t>
      </w:r>
    </w:p>
    <w:p>
      <w:pPr>
        <w:pStyle w:val="ListParagraph"/>
        <w:numPr>
          <w:ilvl w:val="0"/>
          <w:numId w:val="2"/>
        </w:numPr>
        <w:spacing w:after="80"/>
      </w:pPr>
      <w:r>
        <w:rPr>
          <w:rFonts w:ascii="Arial" w:cs="Arial" w:eastAsia="Arial" w:hAnsi="Arial"/>
          <w:color w:val="1A1A1A"/>
          <w:sz w:val="22"/>
          <w:szCs w:val="22"/>
        </w:rPr>
        <w:t xml:space="preserve">Scott's background: CFO at multiple companies, CEO of Enyrgy, VP Marketing/Biz Dev — speak at executive + technical level</w:t>
      </w:r>
    </w:p>
    <w:p>
      <w:pPr>
        <w:pStyle w:val="ListParagraph"/>
        <w:numPr>
          <w:ilvl w:val="0"/>
          <w:numId w:val="2"/>
        </w:numPr>
        <w:spacing w:after="80"/>
      </w:pPr>
      <w:r>
        <w:rPr>
          <w:rFonts w:ascii="Arial" w:cs="Arial" w:eastAsia="Arial" w:hAnsi="Arial"/>
          <w:color w:val="1A1A1A"/>
          <w:sz w:val="22"/>
          <w:szCs w:val="22"/>
        </w:rPr>
        <w:t xml:space="preserve">All 17 cron routines are live and firing. 18 active agents. H1-H4 complete.</w:t>
      </w:r>
    </w:p>
    <w:p>
      <w:pPr>
        <w:spacing w:after="120" w:before="0"/>
      </w:pPr>
      <w:r>
        <w:rPr>
          <w:rFonts w:ascii="Arial" w:cs="Arial" w:eastAsia="Arial" w:hAnsi="Arial"/>
          <w:color w:val="1A1A1A"/>
          <w:sz w:val="22"/>
          <w:szCs w:val="22"/>
        </w:rPr>
        <w:t xml:space="preserve"/>
      </w:r>
    </w:p>
    <w:p>
      <w:pPr>
        <w:spacing w:after="60" w:before="240"/>
        <w:jc w:val="center"/>
      </w:pPr>
      <w:r>
        <w:rPr>
          <w:rFonts w:ascii="Arial" w:cs="Arial" w:eastAsia="Arial" w:hAnsi="Arial"/>
          <w:b/>
          <w:bCs/>
          <w:color w:val="1F3A5F"/>
          <w:sz w:val="22"/>
          <w:szCs w:val="22"/>
        </w:rPr>
        <w:t xml:space="preserve">LEDGERIX PRO — CONFIDENTIAL</w:t>
      </w:r>
    </w:p>
    <w:p>
      <w:pPr>
        <w:spacing w:after="0"/>
        <w:jc w:val="center"/>
      </w:pPr>
      <w:r>
        <w:rPr>
          <w:rFonts w:ascii="Arial" w:cs="Arial" w:eastAsia="Arial" w:hAnsi="Arial"/>
          <w:color w:val="595959"/>
          <w:sz w:val="20"/>
          <w:szCs w:val="20"/>
        </w:rPr>
        <w:t xml:space="preserve">Scott Hansbury  |  Founder &amp; Business Strategist  |  Version 1.2  |  May 17,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Ledgerix Pro  |  Claude Project Brief v1.2  |  May 17,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b/>
        <w:bCs/>
        <w:color w:val="1F3A5F"/>
        <w:sz w:val="18"/>
        <w:szCs w:val="18"/>
      </w:rPr>
      <w:t xml:space="preserve">LEDGERIX PRO  |  Project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Claude Project Brief v1.1</dc:title>
  <dc:creator>Ledgerix Pro</dc:creator>
  <cp:lastModifiedBy>Un-named</cp:lastModifiedBy>
  <cp:revision>1</cp:revision>
  <dcterms:created xsi:type="dcterms:W3CDTF">2026-05-17T13:11:17.026Z</dcterms:created>
  <dcterms:modified xsi:type="dcterms:W3CDTF">2026-05-17T13:11:17.026Z</dcterms:modified>
</cp:coreProperties>
</file>

<file path=docProps/custom.xml><?xml version="1.0" encoding="utf-8"?>
<Properties xmlns="http://schemas.openxmlformats.org/officeDocument/2006/custom-properties" xmlns:vt="http://schemas.openxmlformats.org/officeDocument/2006/docPropsVTypes"/>
</file>