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A5F"/>
          <w:sz w:val="48"/>
          <w:szCs w:val="48"/>
        </w:rPr>
        <w:t xml:space="preserve">LEDGERIX PRO</w:t>
      </w:r>
    </w:p>
    <w:p>
      <w:pPr>
        <w:spacing w:after="60"/>
        <w:jc w:val="center"/>
      </w:pPr>
      <w:r>
        <w:rPr>
          <w:rFonts w:ascii="Arial" w:cs="Arial" w:eastAsia="Arial" w:hAnsi="Arial"/>
          <w:color w:val="2E75B6"/>
          <w:sz w:val="32"/>
          <w:szCs w:val="32"/>
        </w:rPr>
        <w:t xml:space="preserve">End-to-End Enterprise Architecture</w:t>
      </w:r>
    </w:p>
    <w:p>
      <w:pPr>
        <w:spacing w:after="60"/>
        <w:jc w:val="center"/>
      </w:pPr>
      <w:r>
        <w:rPr>
          <w:rFonts w:ascii="Arial" w:cs="Arial" w:eastAsia="Arial" w:hAnsi="Arial"/>
          <w:i/>
          <w:iCs/>
          <w:color w:val="595959"/>
          <w:sz w:val="22"/>
          <w:szCs w:val="22"/>
        </w:rPr>
        <w:t xml:space="preserve">Railway Cloud Edition — 18-Agent AI Workforce</w:t>
      </w:r>
    </w:p>
    <w:p>
      <w:pPr>
        <w:spacing w:after="240"/>
        <w:jc w:val="center"/>
      </w:pPr>
      <w:r>
        <w:rPr>
          <w:rFonts w:ascii="Arial" w:cs="Arial" w:eastAsia="Arial" w:hAnsi="Arial"/>
          <w:b/>
          <w:bCs/>
          <w:color w:val="1F3A5F"/>
          <w:sz w:val="22"/>
          <w:szCs w:val="22"/>
        </w:rPr>
        <w:t xml:space="preserve">Version 3.2 — May 17,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Founder &amp; Business Strategist</w:t>
            </w:r>
          </w:p>
        </w:tc>
        <w:tc>
          <w:tcPr>
            <w:tcW w:type="dxa" w:w="63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Scott Hansbury</w:t>
            </w:r>
          </w:p>
        </w:tc>
      </w:tr>
      <w:tr>
        <w:tc>
          <w:tcPr>
            <w:tcW w:type="dxa" w:w="3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Headquarters</w:t>
            </w:r>
          </w:p>
        </w:tc>
        <w:tc>
          <w:tcPr>
            <w:tcW w:type="dxa" w:w="63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Scottsdale, Arizona</w:t>
            </w:r>
          </w:p>
        </w:tc>
      </w:tr>
      <w:tr>
        <w:tc>
          <w:tcPr>
            <w:tcW w:type="dxa" w:w="3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Version</w:t>
            </w:r>
          </w:p>
        </w:tc>
        <w:tc>
          <w:tcPr>
            <w:tcW w:type="dxa" w:w="63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3.2 — May 17, 2026</w:t>
            </w:r>
          </w:p>
        </w:tc>
      </w:tr>
      <w:tr>
        <w:tc>
          <w:tcPr>
            <w:tcW w:type="dxa" w:w="3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Horizons Complete</w:t>
            </w:r>
          </w:p>
        </w:tc>
        <w:tc>
          <w:tcPr>
            <w:tcW w:type="dxa" w:w="63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H1, H2, H3, H4 (all in-scope items)</w:t>
            </w:r>
          </w:p>
        </w:tc>
      </w:tr>
      <w:tr>
        <w:tc>
          <w:tcPr>
            <w:tcW w:type="dxa" w:w="3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Active Agents</w:t>
            </w:r>
          </w:p>
        </w:tc>
        <w:tc>
          <w:tcPr>
            <w:tcW w:type="dxa" w:w="63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18 (of 25 total configured)</w:t>
            </w:r>
          </w:p>
        </w:tc>
      </w:tr>
      <w:tr>
        <w:tc>
          <w:tcPr>
            <w:tcW w:type="dxa" w:w="3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Scheduled Routines</w:t>
            </w:r>
          </w:p>
        </w:tc>
        <w:tc>
          <w:tcPr>
            <w:tcW w:type="dxa" w:w="63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17 cron routines live on Railway</w:t>
            </w:r>
          </w:p>
        </w:tc>
      </w:tr>
      <w:tr>
        <w:tc>
          <w:tcPr>
            <w:tcW w:type="dxa" w:w="3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Infrastructure</w:t>
            </w:r>
          </w:p>
        </w:tc>
        <w:tc>
          <w:tcPr>
            <w:tcW w:type="dxa" w:w="63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Railway cloud (api.ledgerixpro.com)</w:t>
            </w:r>
          </w:p>
        </w:tc>
      </w:tr>
      <w:tr>
        <w:tc>
          <w:tcPr>
            <w:tcW w:type="dxa" w:w="3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Beta Clients</w:t>
            </w:r>
          </w:p>
        </w:tc>
        <w:tc>
          <w:tcPr>
            <w:tcW w:type="dxa" w:w="63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Enyrgy Inc (Xero connected, active)</w:t>
            </w:r>
          </w:p>
        </w:tc>
      </w:tr>
    </w:tbl>
    <w:p>
      <w:pPr>
        <w:spacing w:after="120" w:before="0"/>
      </w:pPr>
      <w:r>
        <w:rPr>
          <w:rFonts w:ascii="Arial" w:cs="Arial" w:eastAsia="Arial" w:hAnsi="Arial"/>
          <w:color w:val="1A1A1A"/>
          <w:sz w:val="22"/>
          <w:szCs w:val="22"/>
        </w:rPr>
        <w:t xml:space="preserve"/>
      </w:r>
    </w:p>
    <w:p>
      <w:pPr>
        <w:pStyle w:val="Heading1"/>
        <w:spacing w:after="160" w:before="360"/>
      </w:pPr>
      <w:r>
        <w:rPr>
          <w:rFonts w:ascii="Arial" w:cs="Arial" w:eastAsia="Arial" w:hAnsi="Arial"/>
          <w:b/>
          <w:bCs/>
          <w:color w:val="1F3A5F"/>
          <w:sz w:val="32"/>
          <w:szCs w:val="32"/>
        </w:rPr>
        <w:t xml:space="preserve">1. System Overview</w:t>
      </w:r>
    </w:p>
    <w:p>
      <w:pPr>
        <w:spacing w:after="120" w:before="0"/>
      </w:pPr>
      <w:r>
        <w:rPr>
          <w:rFonts w:ascii="Arial" w:cs="Arial" w:eastAsia="Arial" w:hAnsi="Arial"/>
          <w:color w:val="1A1A1A"/>
          <w:sz w:val="22"/>
          <w:szCs w:val="22"/>
        </w:rPr>
        <w:t xml:space="preserve">Ledgerix Pro is an AI-powered, autonomous bookkeeping and accounting firm built on the Paperclip AI agent orchestration platform. Deployed on Railway cloud infrastructure, with GoHighLevel (GHL) as the CRM and client data hub. Designed for multi-tenant security, Human-in-the-Loop oversight, and zero data cross-contamination between client workspaces.</w:t>
      </w:r>
    </w:p>
    <w:p>
      <w:pPr>
        <w:pStyle w:val="Heading2"/>
        <w:spacing w:after="120" w:before="240"/>
      </w:pPr>
      <w:r>
        <w:rPr>
          <w:rFonts w:ascii="Arial" w:cs="Arial" w:eastAsia="Arial" w:hAnsi="Arial"/>
          <w:b/>
          <w:bCs/>
          <w:color w:val="1F3A5F"/>
          <w:sz w:val="26"/>
          <w:szCs w:val="26"/>
        </w:rPr>
        <w:t xml:space="preserve">1.1 Deployment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656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Details</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Runtime Environment</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Railway cloud — api.ledgerixpro.com</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Agent Orchestration</w:t>
            </w:r>
          </w:p>
        </w:tc>
        <w:tc>
          <w:tcPr>
            <w:tcW w:type="dxa" w:w="6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Paperclip AI (ledgerix-pro-core) — Railway container</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Database</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External PostgreSQL on Railway — turntable.proxy.rlwy.net:32057</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DB Backups</w:t>
            </w:r>
          </w:p>
        </w:tc>
        <w:tc>
          <w:tcPr>
            <w:tcW w:type="dxa" w:w="6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Automated hourly, 7-day daily, 4-week weekly, 1-month monthly retention</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CRM Platform</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GoHighLevel (GHL) — LIVE</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Webhook Bridge</w:t>
            </w:r>
          </w:p>
        </w:tc>
        <w:tc>
          <w:tcPr>
            <w:tcW w:type="dxa" w:w="6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api.ledgerixpro.com/api/webhooks/ghl — LIVE (no ngrok)</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Accounting Integrations</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Xero — LIVE (multi-tenant per-contact OAuth). QBO — built, pending client.</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Client Portal</w:t>
            </w:r>
          </w:p>
        </w:tc>
        <w:tc>
          <w:tcPr>
            <w:tcW w:type="dxa" w:w="6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api.ledgerixpro.com/portal/{contactId} or /portal/{slug}</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Internal Dashboard</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api.ledgerixpro.com/dashboard (secret-protected)</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Diagnostic Calculator</w:t>
            </w:r>
          </w:p>
        </w:tc>
        <w:tc>
          <w:tcPr>
            <w:tcW w:type="dxa" w:w="6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api.ledgerixpro.com/diagnostic (public CRO funnel)</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Company UUID</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f60117de-1131-433c-934f-3fe88bfaa163</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GHL Location ID</w:t>
            </w:r>
          </w:p>
        </w:tc>
        <w:tc>
          <w:tcPr>
            <w:tcW w:type="dxa" w:w="6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GhnRONQQVJiCKsdWoQFc</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Board API Key</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pcp_board_railway_admin_key_2026</w:t>
            </w:r>
          </w:p>
        </w:tc>
      </w:tr>
    </w:tbl>
    <w:p>
      <w:pPr>
        <w:pStyle w:val="Heading2"/>
        <w:spacing w:after="120" w:before="240"/>
      </w:pPr>
      <w:r>
        <w:rPr>
          <w:rFonts w:ascii="Arial" w:cs="Arial" w:eastAsia="Arial" w:hAnsi="Arial"/>
          <w:b/>
          <w:bCs/>
          <w:color w:val="1F3A5F"/>
          <w:sz w:val="26"/>
          <w:szCs w:val="26"/>
        </w:rPr>
        <w:t xml:space="preserve">1.2 Agent Workforce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rPr>
          <w:tblHeader/>
        </w:trPr>
        <w:tc>
          <w:tcPr>
            <w:tcW w:type="dxa" w:w="18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Division</w:t>
            </w:r>
          </w:p>
        </w:tc>
        <w:tc>
          <w:tcPr>
            <w:tcW w:type="dxa" w:w="516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Active Agents</w:t>
            </w:r>
          </w:p>
        </w:tc>
        <w:tc>
          <w:tcPr>
            <w:tcW w:type="dxa" w:w="24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Dormant / Deferred</w:t>
            </w:r>
          </w:p>
        </w:tc>
      </w:tr>
      <w:tr>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Accounting (CFO)</w:t>
            </w:r>
          </w:p>
        </w:tc>
        <w:tc>
          <w:tcPr>
            <w:tcW w:type="dxa" w:w="51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Senior Bookkeeper, Ledger Specialist, Reconciliation Agent, AP Specialist, AR Specialist, Payroll, Reporter, Tax Liaison, Billing &amp; Invoicing</w:t>
            </w:r>
          </w:p>
        </w:tc>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Client Health Monitor (5+ clients)</w:t>
            </w:r>
          </w:p>
        </w:tc>
      </w:tr>
      <w:tr>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Operations (COO)</w:t>
            </w:r>
          </w:p>
        </w:tc>
        <w:tc>
          <w:tcPr>
            <w:tcW w:type="dxa" w:w="5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Sentinel, Onboarding, Quality Control, Audit &amp; Compliance, Knowledge Base Manager</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w:t>
            </w:r>
          </w:p>
        </w:tc>
      </w:tr>
      <w:tr>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Revenue (CRO)</w:t>
            </w:r>
          </w:p>
        </w:tc>
        <w:tc>
          <w:tcPr>
            <w:tcW w:type="dxa" w:w="51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SDR (Laura), Client Success Manager, Referral &amp; Reviews, Reactivation</w:t>
            </w:r>
          </w:p>
        </w:tc>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Sales Outreach (50+ leads)</w:t>
            </w:r>
          </w:p>
        </w:tc>
      </w:tr>
      <w:tr>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Executive</w:t>
            </w:r>
          </w:p>
        </w:tc>
        <w:tc>
          <w:tcPr>
            <w:tcW w:type="dxa" w:w="5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CEO, CFO, COO, CRO (configured, strategic governance)</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w:t>
            </w:r>
          </w:p>
        </w:tc>
      </w:tr>
    </w:tbl>
    <w:p>
      <w:pPr>
        <w:pStyle w:val="Heading2"/>
        <w:spacing w:after="120" w:before="240"/>
      </w:pPr>
      <w:r>
        <w:rPr>
          <w:rFonts w:ascii="Arial" w:cs="Arial" w:eastAsia="Arial" w:hAnsi="Arial"/>
          <w:b/>
          <w:bCs/>
          <w:color w:val="1F3A5F"/>
          <w:sz w:val="26"/>
          <w:szCs w:val="26"/>
        </w:rPr>
        <w:t xml:space="preserve">1.3 Horizon Completion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Horizon</w:t>
            </w:r>
          </w:p>
        </w:tc>
        <w:tc>
          <w:tcPr>
            <w:tcW w:type="dxa" w:w="14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576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Deliverables</w:t>
            </w:r>
          </w:p>
        </w:tc>
      </w:tr>
      <w:tr>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H1 — Foundation</w:t>
            </w:r>
          </w:p>
        </w:tc>
        <w:tc>
          <w:tcPr>
            <w:tcW w:type="dxa" w:w="1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Complete</w:t>
            </w:r>
          </w:p>
        </w:tc>
        <w:tc>
          <w:tcPr>
            <w:tcW w:type="dxa" w:w="57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GHL webhook pipeline, Dispatcher, workspace registry, dual-path auth</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H2 — Accounting Core</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Complete</w:t>
            </w:r>
          </w:p>
        </w:tc>
        <w:tc>
          <w:tcPr>
            <w:tcW w:type="dxa" w:w="5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QBO + Xero OAuth, Sentinel, Ledger Specialist, Reconciliation, Senior Bookkeeper, KB Manager</w:t>
            </w:r>
          </w:p>
        </w:tc>
      </w:tr>
      <w:tr>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H3 — Operations</w:t>
            </w:r>
          </w:p>
        </w:tc>
        <w:tc>
          <w:tcPr>
            <w:tcW w:type="dxa" w:w="1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Complete</w:t>
            </w:r>
          </w:p>
        </w:tc>
        <w:tc>
          <w:tcPr>
            <w:tcW w:type="dxa" w:w="57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Internal dashboard, weekly digest, budget guardrails, CRO funnel, nurture sequences, SDR (Laura), Client Health Monitor, Reactivation</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H4 — Full Platform</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Complete</w:t>
            </w:r>
          </w:p>
        </w:tc>
        <w:tc>
          <w:tcPr>
            <w:tcW w:type="dxa" w:w="5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Client portal (slug-based), AP Specialist, Tax Liaison, Reporter, Billing &amp; Invoicing, Payroll, Quality Control, Audit &amp; Compliance, Referral &amp; Reviews, AR payment date intelligence, Railway migration, multi-tenant OAuth</w:t>
            </w:r>
          </w:p>
        </w:tc>
      </w:tr>
      <w:tr>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H4 Deferred</w:t>
            </w:r>
          </w:p>
        </w:tc>
        <w:tc>
          <w:tcPr>
            <w:tcW w:type="dxa" w:w="1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Scale-triggered</w:t>
            </w:r>
          </w:p>
        </w:tc>
        <w:tc>
          <w:tcPr>
            <w:tcW w:type="dxa" w:w="57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Sales Outreach (50+ leads), Scale Pattern (50 clients), KB rules DB table (50 clients)</w:t>
            </w:r>
          </w:p>
        </w:tc>
      </w:tr>
    </w:tbl>
    <w:p>
      <w:pPr>
        <w:pStyle w:val="Heading1"/>
        <w:spacing w:after="160" w:before="360"/>
      </w:pPr>
      <w:r>
        <w:rPr>
          <w:rFonts w:ascii="Arial" w:cs="Arial" w:eastAsia="Arial" w:hAnsi="Arial"/>
          <w:b/>
          <w:bCs/>
          <w:color w:val="1F3A5F"/>
          <w:sz w:val="32"/>
          <w:szCs w:val="32"/>
        </w:rPr>
        <w:t xml:space="preserve">2. Data Architecture — Where Data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000"/>
        <w:gridCol w:w="1960"/>
      </w:tblGrid>
      <w:tr>
        <w:trPr>
          <w:tblHeader/>
        </w:trPr>
        <w:tc>
          <w:tcPr>
            <w:tcW w:type="dxa" w:w="20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Store</w:t>
            </w:r>
          </w:p>
        </w:tc>
        <w:tc>
          <w:tcPr>
            <w:tcW w:type="dxa" w:w="24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Location</w:t>
            </w:r>
          </w:p>
        </w:tc>
        <w:tc>
          <w:tcPr>
            <w:tcW w:type="dxa" w:w="30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Stores</w:t>
            </w:r>
          </w:p>
        </w:tc>
        <w:tc>
          <w:tcPr>
            <w:tcW w:type="dxa" w:w="196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Access</w:t>
            </w:r>
          </w:p>
        </w:tc>
      </w:tr>
      <w:tr>
        <w:tc>
          <w:tcPr>
            <w:tcW w:type="dxa" w:w="2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Paperclip DB</w:t>
            </w:r>
          </w:p>
        </w:tc>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Railway PostgreSQL</w:t>
            </w:r>
          </w:p>
        </w:tc>
        <w:tc>
          <w:tcPr>
            <w:tcW w:type="dxa" w:w="3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 configs, run history, activity logs, budget spend, issues, approvals, accounting_connections</w:t>
            </w:r>
          </w:p>
        </w:tc>
        <w:tc>
          <w:tcPr>
            <w:tcW w:type="dxa" w:w="19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Scott (admin), all agents via server API</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DB Backups</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Railway container filesystem</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Hourly snapshots — 7 daily, 4 weekly, 1 monthly retained</w:t>
            </w:r>
          </w:p>
        </w:tc>
        <w:tc>
          <w:tcPr>
            <w:tcW w:type="dxa" w:w="1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Scott (admin) only</w:t>
            </w:r>
          </w:p>
        </w:tc>
      </w:tr>
      <w:tr>
        <w:tc>
          <w:tcPr>
            <w:tcW w:type="dxa" w:w="2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accounting_connections</w:t>
            </w:r>
          </w:p>
        </w:tc>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Railway PostgreSQL — per-contact rows</w:t>
            </w:r>
          </w:p>
        </w:tc>
        <w:tc>
          <w:tcPr>
            <w:tcW w:type="dxa" w:w="3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Xero/QBO OAuth tokens keyed by (company_id, platform, contact_id)</w:t>
            </w:r>
          </w:p>
        </w:tc>
        <w:tc>
          <w:tcPr>
            <w:tcW w:type="dxa" w:w="19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CFO agents via accounting service</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Railway env vars</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Railway environment (never committed)</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All API keys: GHL, QBO, Xero, encryption keys, webhook secrets, dashboard secret</w:t>
            </w:r>
          </w:p>
        </w:tc>
        <w:tc>
          <w:tcPr>
            <w:tcW w:type="dxa" w:w="1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Railway admin only</w:t>
            </w:r>
          </w:p>
        </w:tc>
      </w:tr>
      <w:tr>
        <w:tc>
          <w:tcPr>
            <w:tcW w:type="dxa" w:w="2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GoHighLevel CRM</w:t>
            </w:r>
          </w:p>
        </w:tc>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GHL cloud (SaaS)</w:t>
            </w:r>
          </w:p>
        </w:tc>
        <w:tc>
          <w:tcPr>
            <w:tcW w:type="dxa" w:w="3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Client contacts, pipeline stages, opportunities, forms, communications, tags, custom fields</w:t>
            </w:r>
          </w:p>
        </w:tc>
        <w:tc>
          <w:tcPr>
            <w:tcW w:type="dxa" w:w="19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CRO agents via GHL API, Scott</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QuickBooks Online</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Intuit cloud — per client instance</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Chart of Accounts, transactions, invoices, bills, payroll, reconciliations</w:t>
            </w:r>
          </w:p>
        </w:tc>
        <w:tc>
          <w:tcPr>
            <w:tcW w:type="dxa" w:w="1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CFO agents via QBO OAuth API</w:t>
            </w:r>
          </w:p>
        </w:tc>
      </w:tr>
      <w:tr>
        <w:tc>
          <w:tcPr>
            <w:tcW w:type="dxa" w:w="2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Xero</w:t>
            </w:r>
          </w:p>
        </w:tc>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Xero cloud — per client instance</w:t>
            </w:r>
          </w:p>
        </w:tc>
        <w:tc>
          <w:tcPr>
            <w:tcW w:type="dxa" w:w="3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Chart of Accounts, bank feeds, transactions, reports — per-contact OAuth</w:t>
            </w:r>
          </w:p>
        </w:tc>
        <w:tc>
          <w:tcPr>
            <w:tcW w:type="dxa" w:w="19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CFO agents via Xero OAuth API</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GitHub Repo</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github.com/LedgerixPro/ledgerix-pro-core</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All source code — NO secrets, NO .env, NO client data</w:t>
            </w:r>
          </w:p>
        </w:tc>
        <w:tc>
          <w:tcPr>
            <w:tcW w:type="dxa" w:w="1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Scott only (private repo)</w:t>
            </w:r>
          </w:p>
        </w:tc>
      </w:tr>
      <w:tr>
        <w:tc>
          <w:tcPr>
            <w:tcW w:type="dxa" w:w="2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Agent AGENTS.md</w:t>
            </w:r>
          </w:p>
        </w:tc>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Git repo — agents/{name}/AGENTS.md</w:t>
            </w:r>
          </w:p>
        </w:tc>
        <w:tc>
          <w:tcPr>
            <w:tcW w:type="dxa" w:w="3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All 18+ agent instructions, SOPs, API call patterns, escalation chains</w:t>
            </w:r>
          </w:p>
        </w:tc>
        <w:tc>
          <w:tcPr>
            <w:tcW w:type="dxa" w:w="19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Scott (author), Paperclip (runtime)</w:t>
            </w:r>
          </w:p>
        </w:tc>
      </w:tr>
    </w:tbl>
    <w:p>
      <w:pPr>
        <w:pStyle w:val="Heading1"/>
        <w:spacing w:after="160" w:before="360"/>
      </w:pPr>
      <w:r>
        <w:rPr>
          <w:rFonts w:ascii="Arial" w:cs="Arial" w:eastAsia="Arial" w:hAnsi="Arial"/>
          <w:b/>
          <w:bCs/>
          <w:color w:val="1F3A5F"/>
          <w:sz w:val="32"/>
          <w:szCs w:val="32"/>
        </w:rPr>
        <w:t xml:space="preserve">3. Multi-Tenant Architecture (H4-14)</w:t>
      </w:r>
    </w:p>
    <w:p>
      <w:pPr>
        <w:spacing w:after="120" w:before="0"/>
      </w:pPr>
      <w:r>
        <w:rPr>
          <w:rFonts w:ascii="Arial" w:cs="Arial" w:eastAsia="Arial" w:hAnsi="Arial"/>
          <w:color w:val="1A1A1A"/>
          <w:sz w:val="22"/>
          <w:szCs w:val="22"/>
        </w:rPr>
        <w:t xml:space="preserve">As of H4, Ledgerix Pro supports multiple clients with separate accounting connections in a single Paperclip company. Each client's Xero or QBO connection is keyed by their GHL contact ID, enabling true multi-tenant bookkeeping.</w:t>
      </w:r>
    </w:p>
    <w:p>
      <w:pPr>
        <w:pStyle w:val="Heading2"/>
        <w:spacing w:after="120" w:before="240"/>
      </w:pPr>
      <w:r>
        <w:rPr>
          <w:rFonts w:ascii="Arial" w:cs="Arial" w:eastAsia="Arial" w:hAnsi="Arial"/>
          <w:b/>
          <w:bCs/>
          <w:color w:val="1F3A5F"/>
          <w:sz w:val="26"/>
          <w:szCs w:val="26"/>
        </w:rPr>
        <w:t xml:space="preserve">3.1 accounting_connections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20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456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id</w:t>
            </w:r>
          </w:p>
        </w:tc>
        <w:tc>
          <w:tcPr>
            <w:tcW w:type="dxa" w:w="2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UUID</w:t>
            </w:r>
          </w:p>
        </w:tc>
        <w:tc>
          <w:tcPr>
            <w:tcW w:type="dxa" w:w="4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Primary key</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company_id</w:t>
            </w:r>
          </w:p>
        </w:tc>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UUID</w:t>
            </w:r>
          </w:p>
        </w:tc>
        <w:tc>
          <w:tcPr>
            <w:tcW w:type="dxa" w:w="4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Always f60117de… — the single Paperclip company</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platform</w:t>
            </w:r>
          </w:p>
        </w:tc>
        <w:tc>
          <w:tcPr>
            <w:tcW w:type="dxa" w:w="2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text</w:t>
            </w:r>
          </w:p>
        </w:tc>
        <w:tc>
          <w:tcPr>
            <w:tcW w:type="dxa" w:w="4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'xero' or 'quickbooks'</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contact_id</w:t>
            </w:r>
          </w:p>
        </w:tc>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text (nullable)</w:t>
            </w:r>
          </w:p>
        </w:tc>
        <w:tc>
          <w:tcPr>
            <w:tcW w:type="dxa" w:w="4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GHL contact ID — NULL for legacy global connection</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realm_id</w:t>
            </w:r>
          </w:p>
        </w:tc>
        <w:tc>
          <w:tcPr>
            <w:tcW w:type="dxa" w:w="2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text</w:t>
            </w:r>
          </w:p>
        </w:tc>
        <w:tc>
          <w:tcPr>
            <w:tcW w:type="dxa" w:w="4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Xero tenant ID or QBO company ID</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access_token</w:t>
            </w:r>
          </w:p>
        </w:tc>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text (encrypted)</w:t>
            </w:r>
          </w:p>
        </w:tc>
        <w:tc>
          <w:tcPr>
            <w:tcW w:type="dxa" w:w="4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OAuth access token</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refresh_token</w:t>
            </w:r>
          </w:p>
        </w:tc>
        <w:tc>
          <w:tcPr>
            <w:tcW w:type="dxa" w:w="2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text (encrypted)</w:t>
            </w:r>
          </w:p>
        </w:tc>
        <w:tc>
          <w:tcPr>
            <w:tcW w:type="dxa" w:w="4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OAuth refresh token</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access_token_expires_at</w:t>
            </w:r>
          </w:p>
        </w:tc>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timestamp</w:t>
            </w:r>
          </w:p>
        </w:tc>
        <w:tc>
          <w:tcPr>
            <w:tcW w:type="dxa" w:w="4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Token expiry</w:t>
            </w:r>
          </w:p>
        </w:tc>
      </w:tr>
    </w:tbl>
    <w:p>
      <w:pPr>
        <w:spacing w:after="120" w:before="0"/>
      </w:pPr>
      <w:r>
        <w:rPr>
          <w:rFonts w:ascii="Arial" w:cs="Arial" w:eastAsia="Arial" w:hAnsi="Arial"/>
          <w:color w:val="1A1A1A"/>
          <w:sz w:val="22"/>
          <w:szCs w:val="22"/>
        </w:rPr>
        <w:t xml:space="preserve">Unique constraint: (company_id, platform, contact_id) with NULLS NOT DISTINCT — one global NULL row per platform and one per-contact row per platform.</w:t>
      </w:r>
    </w:p>
    <w:p>
      <w:pPr>
        <w:pStyle w:val="Heading2"/>
        <w:spacing w:after="120" w:before="240"/>
      </w:pPr>
      <w:r>
        <w:rPr>
          <w:rFonts w:ascii="Arial" w:cs="Arial" w:eastAsia="Arial" w:hAnsi="Arial"/>
          <w:b/>
          <w:bCs/>
          <w:color w:val="1F3A5F"/>
          <w:sz w:val="26"/>
          <w:szCs w:val="26"/>
        </w:rPr>
        <w:t xml:space="preserve">3.2 OAuth Connection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Step</w:t>
            </w:r>
          </w:p>
        </w:tc>
        <w:tc>
          <w:tcPr>
            <w:tcW w:type="dxa" w:w="716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Connect URL</w:t>
            </w:r>
          </w:p>
        </w:tc>
        <w:tc>
          <w:tcPr>
            <w:tcW w:type="dxa" w:w="71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https://api.ledgerixpro.com/api/oauth/xero/connect?contactId={ghlContactId}</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State management</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pendingStates Map carries contactId across OAuth round-trip (10-min TTL)</w:t>
            </w:r>
          </w:p>
        </w:tc>
      </w:tr>
      <w:tr>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Callback</w:t>
            </w:r>
          </w:p>
        </w:tc>
        <w:tc>
          <w:tcPr>
            <w:tcW w:type="dxa" w:w="71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Stores tokens with contact_id in accounting_connections</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Agent access</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getNewTransactions(db, COMPANY_ID, contact.id, sinceDate) — all agents use this pattern</w:t>
            </w:r>
          </w:p>
        </w:tc>
      </w:tr>
      <w:tr>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Portal URL</w:t>
            </w:r>
          </w:p>
        </w:tc>
        <w:tc>
          <w:tcPr>
            <w:tcW w:type="dxa" w:w="71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https://api.ledgerixpro.com/portal/{slug} → 302 redirect to /portal/{contactId}</w:t>
            </w:r>
          </w:p>
        </w:tc>
      </w:tr>
    </w:tbl>
    <w:p>
      <w:pPr>
        <w:pStyle w:val="Heading1"/>
        <w:spacing w:after="160" w:before="360"/>
      </w:pPr>
      <w:r>
        <w:rPr>
          <w:rFonts w:ascii="Arial" w:cs="Arial" w:eastAsia="Arial" w:hAnsi="Arial"/>
          <w:b/>
          <w:bCs/>
          <w:color w:val="1F3A5F"/>
          <w:sz w:val="32"/>
          <w:szCs w:val="32"/>
        </w:rPr>
        <w:t xml:space="preserve">4. Scheduled Routine Architecture</w:t>
      </w:r>
    </w:p>
    <w:p>
      <w:pPr>
        <w:spacing w:after="120" w:before="0"/>
      </w:pPr>
      <w:r>
        <w:rPr>
          <w:rFonts w:ascii="Arial" w:cs="Arial" w:eastAsia="Arial" w:hAnsi="Arial"/>
          <w:color w:val="1A1A1A"/>
          <w:sz w:val="22"/>
          <w:szCs w:val="22"/>
        </w:rPr>
        <w:t xml:space="preserve">17 cron routines running on Railway, all in America/Phoenix timezone.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Time (Phoenix)</w:t>
            </w:r>
          </w:p>
        </w:tc>
        <w:tc>
          <w:tcPr>
            <w:tcW w:type="dxa" w:w="22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Cadence</w:t>
            </w:r>
          </w:p>
        </w:tc>
        <w:tc>
          <w:tcPr>
            <w:tcW w:type="dxa" w:w="536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Agent &amp; Routine</w:t>
            </w:r>
          </w:p>
        </w:tc>
      </w:tr>
      <w:tr>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6:00 AM</w:t>
            </w:r>
          </w:p>
        </w:tc>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Daily</w:t>
            </w:r>
          </w:p>
        </w:tc>
        <w:tc>
          <w:tcPr>
            <w:tcW w:type="dxa" w:w="53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Sentinel — daily transaction sync for all active clients</w:t>
            </w:r>
          </w:p>
        </w:tc>
      </w:tr>
      <w:tr>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6:30 AM</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Daily</w:t>
            </w:r>
          </w:p>
        </w:tc>
        <w:tc>
          <w:tcPr>
            <w:tcW w:type="dxa" w:w="53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AP Specialist — daily bill check and overdue flag</w:t>
            </w:r>
          </w:p>
        </w:tc>
      </w:tr>
      <w:tr>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7:00 AM</w:t>
            </w:r>
          </w:p>
        </w:tc>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Daily</w:t>
            </w:r>
          </w:p>
        </w:tc>
        <w:tc>
          <w:tcPr>
            <w:tcW w:type="dxa" w:w="53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Tax Liaison — daily deadline check</w:t>
            </w:r>
          </w:p>
        </w:tc>
      </w:tr>
      <w:tr>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7:30 AM</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Mon–Fri</w:t>
            </w:r>
          </w:p>
        </w:tc>
        <w:tc>
          <w:tcPr>
            <w:tcW w:type="dxa" w:w="53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Quality Control — daily spot-check (20% transaction sample)</w:t>
            </w:r>
          </w:p>
        </w:tc>
      </w:tr>
      <w:tr>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7:30 AM</w:t>
            </w:r>
          </w:p>
        </w:tc>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Monday</w:t>
            </w:r>
          </w:p>
        </w:tc>
        <w:tc>
          <w:tcPr>
            <w:tcW w:type="dxa" w:w="53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Reporter — weekly pulse digest</w:t>
            </w:r>
          </w:p>
        </w:tc>
      </w:tr>
      <w:tr>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7:00 AM</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1st of month</w:t>
            </w:r>
          </w:p>
        </w:tc>
        <w:tc>
          <w:tcPr>
            <w:tcW w:type="dxa" w:w="53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Reporter — monthly deep dive</w:t>
            </w:r>
          </w:p>
        </w:tc>
      </w:tr>
      <w:tr>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8:00 AM</w:t>
            </w:r>
          </w:p>
        </w:tc>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Monday</w:t>
            </w:r>
          </w:p>
        </w:tc>
        <w:tc>
          <w:tcPr>
            <w:tcW w:type="dxa" w:w="53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Senior Bookkeeper — weekly digest email to Scott</w:t>
            </w:r>
          </w:p>
        </w:tc>
      </w:tr>
      <w:tr>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8:00 AM</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1st of month</w:t>
            </w:r>
          </w:p>
        </w:tc>
        <w:tc>
          <w:tcPr>
            <w:tcW w:type="dxa" w:w="53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Billing &amp; Invoicing — monthly client invoicing</w:t>
            </w:r>
          </w:p>
        </w:tc>
      </w:tr>
      <w:tr>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8:30 AM</w:t>
            </w:r>
          </w:p>
        </w:tc>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Monday</w:t>
            </w:r>
          </w:p>
        </w:tc>
        <w:tc>
          <w:tcPr>
            <w:tcW w:type="dxa" w:w="53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AP Specialist — weekly AP summary</w:t>
            </w:r>
          </w:p>
        </w:tc>
      </w:tr>
      <w:tr>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9:00 AM</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Monday</w:t>
            </w:r>
          </w:p>
        </w:tc>
        <w:tc>
          <w:tcPr>
            <w:tcW w:type="dxa" w:w="53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Tax Liaison — weekly deadline summary</w:t>
            </w:r>
          </w:p>
        </w:tc>
      </w:tr>
      <w:tr>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9:00 AM</w:t>
            </w:r>
          </w:p>
        </w:tc>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1st of month</w:t>
            </w:r>
          </w:p>
        </w:tc>
        <w:tc>
          <w:tcPr>
            <w:tcW w:type="dxa" w:w="53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Reactivation — monthly churn outreach scan</w:t>
            </w:r>
          </w:p>
        </w:tc>
      </w:tr>
      <w:tr>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9:00 AM</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Tuesday</w:t>
            </w:r>
          </w:p>
        </w:tc>
        <w:tc>
          <w:tcPr>
            <w:tcW w:type="dxa" w:w="53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Referral &amp; Reviews — weekly 30-day and 90-day candidate scan</w:t>
            </w:r>
          </w:p>
        </w:tc>
      </w:tr>
      <w:tr>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9:00 AM</w:t>
            </w:r>
          </w:p>
        </w:tc>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Friday</w:t>
            </w:r>
          </w:p>
        </w:tc>
        <w:tc>
          <w:tcPr>
            <w:tcW w:type="dxa" w:w="53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Quality Control — weekly full review and trend analysis</w:t>
            </w:r>
          </w:p>
        </w:tc>
      </w:tr>
      <w:tr>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10:15 AM</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Monday</w:t>
            </w:r>
          </w:p>
        </w:tc>
        <w:tc>
          <w:tcPr>
            <w:tcW w:type="dxa" w:w="53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Audit &amp; Compliance — weekly compliance scan</w:t>
            </w:r>
          </w:p>
        </w:tc>
      </w:tr>
      <w:tr>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11:00 AM</w:t>
            </w:r>
          </w:p>
        </w:tc>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1st of month</w:t>
            </w:r>
          </w:p>
        </w:tc>
        <w:tc>
          <w:tcPr>
            <w:tcW w:type="dxa" w:w="53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Audit &amp; Compliance — monthly deep scan</w:t>
            </w:r>
          </w:p>
        </w:tc>
      </w:tr>
      <w:tr>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11:30 AM</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1st of month</w:t>
            </w:r>
          </w:p>
        </w:tc>
        <w:tc>
          <w:tcPr>
            <w:tcW w:type="dxa" w:w="53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Payroll — monthly payroll compliance review</w:t>
            </w:r>
          </w:p>
        </w:tc>
      </w:tr>
      <w:tr>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7:00 AM</w:t>
            </w:r>
          </w:p>
        </w:tc>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Bi-weekly Wed</w:t>
            </w:r>
          </w:p>
        </w:tc>
        <w:tc>
          <w:tcPr>
            <w:tcW w:type="dxa" w:w="53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Payroll — bi-weekly payroll run scan</w:t>
            </w:r>
          </w:p>
        </w:tc>
      </w:tr>
    </w:tbl>
    <w:p>
      <w:pPr>
        <w:spacing w:after="120" w:before="0"/>
      </w:pPr>
      <w:r>
        <w:rPr>
          <w:rFonts w:ascii="Arial" w:cs="Arial" w:eastAsia="Arial" w:hAnsi="Arial"/>
          <w:color w:val="1A1A1A"/>
          <w:sz w:val="22"/>
          <w:szCs w:val="22"/>
        </w:rPr>
        <w:t xml:space="preserve"/>
      </w:r>
    </w:p>
    <w:p>
      <w:pPr>
        <w:spacing w:after="120" w:before="0"/>
      </w:pPr>
      <w:r>
        <w:rPr>
          <w:rFonts w:ascii="Arial" w:cs="Arial" w:eastAsia="Arial" w:hAnsi="Arial"/>
          <w:color w:val="1A1A1A"/>
          <w:sz w:val="22"/>
          <w:szCs w:val="22"/>
        </w:rPr>
        <w:t xml:space="preserve">Scale trigger: At 5 paying clients, enable Client Health Monitor weekly heartbeat — Monday 8am Arizona (cron: 0 15 * * 1 UTC). Register via Paperclip routine API at /companies/f60117de.../routines.</w:t>
      </w:r>
    </w:p>
    <w:p>
      <w:pPr>
        <w:pStyle w:val="Heading1"/>
        <w:spacing w:after="160" w:before="360"/>
      </w:pPr>
      <w:r>
        <w:rPr>
          <w:rFonts w:ascii="Arial" w:cs="Arial" w:eastAsia="Arial" w:hAnsi="Arial"/>
          <w:b/>
          <w:bCs/>
          <w:color w:val="1F3A5F"/>
          <w:sz w:val="32"/>
          <w:szCs w:val="32"/>
        </w:rPr>
        <w:t xml:space="preserve">5. Phase-by-Phase Process Architecture</w:t>
      </w:r>
    </w:p>
    <w:p>
      <w:pPr>
        <w:pStyle w:val="Heading2"/>
        <w:spacing w:after="120" w:before="240"/>
      </w:pPr>
      <w:r>
        <w:rPr>
          <w:rFonts w:ascii="Arial" w:cs="Arial" w:eastAsia="Arial" w:hAnsi="Arial"/>
          <w:b/>
          <w:bCs/>
          <w:color w:val="1F3A5F"/>
          <w:sz w:val="26"/>
          <w:szCs w:val="26"/>
        </w:rPr>
        <w:t xml:space="preserve">Phase 1: Lead Generation &amp; Qualification</w:t>
      </w:r>
    </w:p>
    <w:p>
      <w:pPr>
        <w:spacing w:after="120" w:before="0"/>
      </w:pPr>
      <w:r>
        <w:rPr>
          <w:rFonts w:ascii="Arial" w:cs="Arial" w:eastAsia="Arial" w:hAnsi="Arial"/>
          <w:i/>
          <w:iCs/>
          <w:color w:val="595959"/>
          <w:sz w:val="22"/>
          <w:szCs w:val="22"/>
        </w:rPr>
        <w:t xml:space="preserve">Sales Division — CRO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0"/>
            </w:pPr>
            <w:r>
              <w:rPr>
                <w:rFonts w:ascii="Arial" w:cs="Arial" w:eastAsia="Arial" w:hAnsi="Arial"/>
                <w:b/>
                <w:bCs/>
                <w:color w:val="FFFFFF"/>
                <w:sz w:val="22"/>
                <w:szCs w:val="22"/>
              </w:rPr>
              <w:t>AGENT: SDR — Sales Development Representative (Laura)</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Process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Qualifies inbound leads via ICP scoring (1–10 signal confidence). Sends personalized SMS (referral opener) and email sequences by business type. Creates GHL opportunities. Fires contact.sdr_ready webhook on qualification.</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Inputs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GHL contact.created or contact.sdr_ready webhook events, ICP qualification criteria, GHL contact custom fields, business type classification</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Outputs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ICP score written to GHL custom fields, tags added (icp-qualified, sdr-ready), GHL opportunity created in Sales pipeline, outreach SMS + email sent</w:t>
            </w:r>
          </w:p>
        </w:tc>
      </w:tr>
    </w:tbl>
    <w:p>
      <w:pPr>
        <w:spacing w:after="12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0"/>
            </w:pPr>
            <w:r>
              <w:rPr>
                <w:rFonts w:ascii="Arial" w:cs="Arial" w:eastAsia="Arial" w:hAnsi="Arial"/>
                <w:b/>
                <w:bCs/>
                <w:color w:val="FFFFFF"/>
                <w:sz w:val="22"/>
                <w:szCs w:val="22"/>
              </w:rPr>
              <w:t>AGENT: Client Success Manager</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Process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Maintains health scores for all active clients. Delivers plain-English monthly summaries. Monitors churn signals. Runs 30/90/180-day feedback loops.</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Inputs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Health score inputs (payment timeliness, response rates, GHL engagement), Reporter financial package, escalations from AR Specialist</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Outputs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Client health scores updated in GHL, monthly touchpoint communications, NPS scores routed to CRO and Referral &amp; Reviews, churn risk alerts</w:t>
            </w:r>
          </w:p>
        </w:tc>
      </w:tr>
    </w:tbl>
    <w:p>
      <w:pPr>
        <w:spacing w:after="12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0"/>
            </w:pPr>
            <w:r>
              <w:rPr>
                <w:rFonts w:ascii="Arial" w:cs="Arial" w:eastAsia="Arial" w:hAnsi="Arial"/>
                <w:b/>
                <w:bCs/>
                <w:color w:val="FFFFFF"/>
                <w:sz w:val="22"/>
                <w:szCs w:val="22"/>
              </w:rPr>
              <w:t>AGENT: Referral &amp; Reviews</w:t>
            </w:r>
            <w:r>
              <w:rPr>
                <w:rFonts w:ascii="Arial" w:cs="Arial" w:eastAsia="Arial" w:hAnsi="Arial"/>
                <w:color w:val="FFFFFF"/>
                <w:sz w:val="22"/>
                <w:szCs w:val="22"/>
              </w:rPr>
              <w:t xml:space="preserve">  —  </w:t>
            </w:r>
            <w:r>
              <w:rPr>
                <w:rFonts w:ascii="Arial" w:cs="Arial" w:eastAsia="Arial" w:hAnsi="Arial"/>
                <w:i/>
                <w:iCs/>
                <w:color w:val="FFFFFF"/>
                <w:sz w:val="22"/>
                <w:szCs w:val="22"/>
              </w:rPr>
              <w:t xml:space="preserve">Tuesday 9:00 AM weekly</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Process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Weekly scan identifies 30-day and 90-day candidates. Sends Google review request at 30 days — checks for open issues first, will not ask during unresolved bookkeeping problems. Sends referral ask at 90 days. Uses tags to prevent duplicate outreach.</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Inputs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GHL contacts tagged client-active, days-as-client calculation, open issue check, GOOGLE_PLACE_ID env var for review link</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Outputs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30-day check-in email with Google review link, 90-day referral email, GHL tags updated (review-requested, referral-requested)</w:t>
            </w:r>
          </w:p>
        </w:tc>
      </w:tr>
    </w:tbl>
    <w:p>
      <w:pPr>
        <w:spacing w:after="12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0"/>
            </w:pPr>
            <w:r>
              <w:rPr>
                <w:rFonts w:ascii="Arial" w:cs="Arial" w:eastAsia="Arial" w:hAnsi="Arial"/>
                <w:b/>
                <w:bCs/>
                <w:color w:val="FFFFFF"/>
                <w:sz w:val="22"/>
                <w:szCs w:val="22"/>
              </w:rPr>
              <w:t>AGENT: Reactivation</w:t>
            </w:r>
            <w:r>
              <w:rPr>
                <w:rFonts w:ascii="Arial" w:cs="Arial" w:eastAsia="Arial" w:hAnsi="Arial"/>
                <w:color w:val="FFFFFF"/>
                <w:sz w:val="22"/>
                <w:szCs w:val="22"/>
              </w:rPr>
              <w:t xml:space="preserve">  —  </w:t>
            </w:r>
            <w:r>
              <w:rPr>
                <w:rFonts w:ascii="Arial" w:cs="Arial" w:eastAsia="Arial" w:hAnsi="Arial"/>
                <w:i/>
                <w:iCs/>
                <w:color w:val="FFFFFF"/>
                <w:sz w:val="22"/>
                <w:szCs w:val="22"/>
              </w:rPr>
              <w:t xml:space="preserve">1st of month 9:00 AM</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Process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Monitors GHL for churned/paused clients. Classifies churn reason. Executes targeted reactivation sequences with defined hard stops.</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Inputs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GHL pipeline stage changes (Paused/Cancelled/Inactive), churn reason, reactivation offers, Do Not Contact list</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Outputs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Reactivation sequence messages via GHL, positive response handoffs to Client Success Manager, monthly Churn Intelligence Report to CRO</w:t>
            </w:r>
          </w:p>
        </w:tc>
      </w:tr>
    </w:tbl>
    <w:p>
      <w:pPr>
        <w:pStyle w:val="Heading2"/>
        <w:spacing w:after="120" w:before="240"/>
      </w:pPr>
      <w:r>
        <w:rPr>
          <w:rFonts w:ascii="Arial" w:cs="Arial" w:eastAsia="Arial" w:hAnsi="Arial"/>
          <w:b/>
          <w:bCs/>
          <w:color w:val="1F3A5F"/>
          <w:sz w:val="26"/>
          <w:szCs w:val="26"/>
        </w:rPr>
        <w:t xml:space="preserve">Phase 2: Client Onboarding</w:t>
      </w:r>
    </w:p>
    <w:p>
      <w:pPr>
        <w:spacing w:after="120" w:before="0"/>
      </w:pPr>
      <w:r>
        <w:rPr>
          <w:rFonts w:ascii="Arial" w:cs="Arial" w:eastAsia="Arial" w:hAnsi="Arial"/>
          <w:i/>
          <w:iCs/>
          <w:color w:val="595959"/>
          <w:sz w:val="22"/>
          <w:szCs w:val="22"/>
        </w:rPr>
        <w:t xml:space="preserve">Operations Division — COO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0"/>
            </w:pPr>
            <w:r>
              <w:rPr>
                <w:rFonts w:ascii="Arial" w:cs="Arial" w:eastAsia="Arial" w:hAnsi="Arial"/>
                <w:b/>
                <w:bCs/>
                <w:color w:val="FFFFFF"/>
                <w:sz w:val="22"/>
                <w:szCs w:val="22"/>
              </w:rPr>
              <w:t>AGENT: Onboarding</w:t>
            </w:r>
            <w:r>
              <w:rPr>
                <w:rFonts w:ascii="Arial" w:cs="Arial" w:eastAsia="Arial" w:hAnsi="Arial"/>
                <w:color w:val="FFFFFF"/>
                <w:sz w:val="22"/>
                <w:szCs w:val="22"/>
              </w:rPr>
              <w:t xml:space="preserve">  —  </w:t>
            </w:r>
            <w:r>
              <w:rPr>
                <w:rFonts w:ascii="Arial" w:cs="Arial" w:eastAsia="Arial" w:hAnsi="Arial"/>
                <w:i/>
                <w:iCs/>
                <w:color w:val="FFFFFF"/>
                <w:sz w:val="22"/>
                <w:szCs w:val="22"/>
              </w:rPr>
              <w:t xml:space="preserve">maxTurnsPerRun: 40</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Process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Fires on GHL contact.created webhook. Checks for client-active or beta-client tags — if present, escalates instead of re-qualifying. Runs ICP scoring. Sets GHL custom fields (icp_status, signal_confidence_score, client_type, ledgerix_workspace_id). Fires contact.sdr_ready event.</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Inputs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GHL contact.created webhook with contactId, GHL contact custom fields, existing tags (client-active, beta-client checks)</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Outputs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ICP score written to GHL, tags added, GHL opportunity created, contact.sdr_ready event fired to trigger SDR, escalation issue if existing client detected</w:t>
            </w:r>
          </w:p>
        </w:tc>
      </w:tr>
    </w:tbl>
    <w:p>
      <w:pPr>
        <w:spacing w:after="12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0"/>
            </w:pPr>
            <w:r>
              <w:rPr>
                <w:rFonts w:ascii="Arial" w:cs="Arial" w:eastAsia="Arial" w:hAnsi="Arial"/>
                <w:b/>
                <w:bCs/>
                <w:color w:val="FFFFFF"/>
                <w:sz w:val="22"/>
                <w:szCs w:val="22"/>
              </w:rPr>
              <w:t>AGENT: Knowledge Base Manager</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Process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Generates Client Knowledge Package within 24 hours of new client activation. Selects COA template based on client type. Version-controls all documents.</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Inputs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Client intake data, COA template library (Trades-HVAC, Trades-Plumbing, Agency, Small Business, Manufacturing), GHL contact ID</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Outputs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Client Knowledge Package (client profile, COA template, industry rules, custom instructions) delivered to Senior Bookkeeper</w:t>
            </w:r>
          </w:p>
        </w:tc>
      </w:tr>
    </w:tbl>
    <w:p>
      <w:pPr>
        <w:pStyle w:val="Heading2"/>
        <w:spacing w:after="120" w:before="240"/>
      </w:pPr>
      <w:r>
        <w:rPr>
          <w:rFonts w:ascii="Arial" w:cs="Arial" w:eastAsia="Arial" w:hAnsi="Arial"/>
          <w:b/>
          <w:bCs/>
          <w:color w:val="1F3A5F"/>
          <w:sz w:val="26"/>
          <w:szCs w:val="26"/>
        </w:rPr>
        <w:t xml:space="preserve">Phase 3: Daily Transaction Processing</w:t>
      </w:r>
    </w:p>
    <w:p>
      <w:pPr>
        <w:spacing w:after="120" w:before="0"/>
      </w:pPr>
      <w:r>
        <w:rPr>
          <w:rFonts w:ascii="Arial" w:cs="Arial" w:eastAsia="Arial" w:hAnsi="Arial"/>
          <w:i/>
          <w:iCs/>
          <w:color w:val="595959"/>
          <w:sz w:val="22"/>
          <w:szCs w:val="22"/>
        </w:rPr>
        <w:t xml:space="preserve">Accounting Division — CFO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0"/>
            </w:pPr>
            <w:r>
              <w:rPr>
                <w:rFonts w:ascii="Arial" w:cs="Arial" w:eastAsia="Arial" w:hAnsi="Arial"/>
                <w:b/>
                <w:bCs/>
                <w:color w:val="FFFFFF"/>
                <w:sz w:val="22"/>
                <w:szCs w:val="22"/>
              </w:rPr>
              <w:t>AGENT: Sentinel</w:t>
            </w:r>
            <w:r>
              <w:rPr>
                <w:rFonts w:ascii="Arial" w:cs="Arial" w:eastAsia="Arial" w:hAnsi="Arial"/>
                <w:color w:val="FFFFFF"/>
                <w:sz w:val="22"/>
                <w:szCs w:val="22"/>
              </w:rPr>
              <w:t xml:space="preserve">  —  </w:t>
            </w:r>
            <w:r>
              <w:rPr>
                <w:rFonts w:ascii="Arial" w:cs="Arial" w:eastAsia="Arial" w:hAnsi="Arial"/>
                <w:i/>
                <w:iCs/>
                <w:color w:val="FFFFFF"/>
                <w:sz w:val="22"/>
                <w:szCs w:val="22"/>
              </w:rPr>
              <w:t xml:space="preserve">Daily 6:00 AM Arizona</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Process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Pulls all GHL contacts tagged client-active. For each contact, calls getNewTransactions(db, COMPANY_ID, contact.id, yesterday) to fetch Xero/QBO transactions via per-contact OAuth connection. Screens every transaction against 90-day baseline. Flags anomalies, duplicates, and high-risk vendors.</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Inputs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GHL contacts tagged client-active, accounting_connections table (filtered by contact_id), Xero/QBO bank feed transactions from yesterday</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Outputs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Transaction issues assigned to Ledger Specialist, fraud flags to CFO and COO, runMetrics with transactionsProcessed/autoCategorized/flaggedForReview</w:t>
            </w:r>
          </w:p>
        </w:tc>
      </w:tr>
    </w:tbl>
    <w:p>
      <w:pPr>
        <w:spacing w:after="12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0"/>
            </w:pPr>
            <w:r>
              <w:rPr>
                <w:rFonts w:ascii="Arial" w:cs="Arial" w:eastAsia="Arial" w:hAnsi="Arial"/>
                <w:b/>
                <w:bCs/>
                <w:color w:val="FFFFFF"/>
                <w:sz w:val="22"/>
                <w:szCs w:val="22"/>
              </w:rPr>
              <w:t>AGENT: Ledger Specialist</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Process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Assigns COA categories based on vendor history, amount, and industry rules. Standardizes vendor names. Adds job-costing metadata for Trades clients. 80% confidence threshold — below goes to Suspense.</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Inputs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Cleaned transactions from Sentinel, Client COA, 12-month vendor history, Client Knowledge Package</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Outputs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Categorized transactions posted to QBO/Xero, Suspense-flagged items with notes, processing summary to Senior Bookkeeper</w:t>
            </w:r>
          </w:p>
        </w:tc>
      </w:tr>
    </w:tbl>
    <w:p>
      <w:pPr>
        <w:spacing w:after="12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0"/>
            </w:pPr>
            <w:r>
              <w:rPr>
                <w:rFonts w:ascii="Arial" w:cs="Arial" w:eastAsia="Arial" w:hAnsi="Arial"/>
                <w:b/>
                <w:bCs/>
                <w:color w:val="FFFFFF"/>
                <w:sz w:val="22"/>
                <w:szCs w:val="22"/>
              </w:rPr>
              <w:t>AGENT: Senior Bookkeeper</w:t>
            </w:r>
            <w:r>
              <w:rPr>
                <w:rFonts w:ascii="Arial" w:cs="Arial" w:eastAsia="Arial" w:hAnsi="Arial"/>
                <w:color w:val="FFFFFF"/>
                <w:sz w:val="22"/>
                <w:szCs w:val="22"/>
              </w:rPr>
              <w:t xml:space="preserve">  —  </w:t>
            </w:r>
            <w:r>
              <w:rPr>
                <w:rFonts w:ascii="Arial" w:cs="Arial" w:eastAsia="Arial" w:hAnsi="Arial"/>
                <w:i/>
                <w:iCs/>
                <w:color w:val="FFFFFF"/>
                <w:sz w:val="22"/>
                <w:szCs w:val="22"/>
              </w:rPr>
              <w:t xml:space="preserve">Monday 8:00 AM weekly digest</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Process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Reviews Ledger Specialist output for GAAP compliance. Detects anomalies &gt;20% variance from 3-month rolling average. 95% confidence threshold. Sends weekly digest email to scott@ledgerixpro.com every Monday 8am.</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Inputs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Categorized transactions from Ledger Specialist, prior period financial data, client Chart of Accounts</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Outputs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Verified transactions, GAAP-compliant entries, HITL flags with Reason for Doubt, weekly digest email</w:t>
            </w:r>
          </w:p>
        </w:tc>
      </w:tr>
    </w:tbl>
    <w:p>
      <w:pPr>
        <w:pStyle w:val="Heading2"/>
        <w:spacing w:after="120" w:before="240"/>
      </w:pPr>
      <w:r>
        <w:rPr>
          <w:rFonts w:ascii="Arial" w:cs="Arial" w:eastAsia="Arial" w:hAnsi="Arial"/>
          <w:b/>
          <w:bCs/>
          <w:color w:val="1F3A5F"/>
          <w:sz w:val="26"/>
          <w:szCs w:val="26"/>
        </w:rPr>
        <w:t xml:space="preserve">Phase 4: Accounts Payable &amp; Receivable</w:t>
      </w:r>
    </w:p>
    <w:p>
      <w:pPr>
        <w:spacing w:after="120" w:before="0"/>
      </w:pPr>
      <w:r>
        <w:rPr>
          <w:rFonts w:ascii="Arial" w:cs="Arial" w:eastAsia="Arial" w:hAnsi="Arial"/>
          <w:i/>
          <w:iCs/>
          <w:color w:val="595959"/>
          <w:sz w:val="22"/>
          <w:szCs w:val="22"/>
        </w:rPr>
        <w:t xml:space="preserve">Accounting Division — CFO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0"/>
            </w:pPr>
            <w:r>
              <w:rPr>
                <w:rFonts w:ascii="Arial" w:cs="Arial" w:eastAsia="Arial" w:hAnsi="Arial"/>
                <w:b/>
                <w:bCs/>
                <w:color w:val="FFFFFF"/>
                <w:sz w:val="22"/>
                <w:szCs w:val="22"/>
              </w:rPr>
              <w:t>AGENT: AP Specialist</w:t>
            </w:r>
            <w:r>
              <w:rPr>
                <w:rFonts w:ascii="Arial" w:cs="Arial" w:eastAsia="Arial" w:hAnsi="Arial"/>
                <w:color w:val="FFFFFF"/>
                <w:sz w:val="22"/>
                <w:szCs w:val="22"/>
              </w:rPr>
              <w:t xml:space="preserve">  —  </w:t>
            </w:r>
            <w:r>
              <w:rPr>
                <w:rFonts w:ascii="Arial" w:cs="Arial" w:eastAsia="Arial" w:hAnsi="Arial"/>
                <w:i/>
                <w:iCs/>
                <w:color w:val="FFFFFF"/>
                <w:sz w:val="22"/>
                <w:szCs w:val="22"/>
              </w:rPr>
              <w:t xml:space="preserve">Daily 6:30 AM + Monday 8:30 AM</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Process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Records all incoming vendor bills in QBO/Xero. Routes bills above approval threshold for human sign-off. Schedules payments 2 business days before due date. Flags duplicates and new unapproved vendors.</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Inputs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Vendor bills from QBO/Xero, client approval thresholds, approved vendor list from Knowledge Base Manager</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Outputs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Bills entered in QBO/Xero, approved payments scheduled, AP Aging Report at month-end, weekly summary email</w:t>
            </w:r>
          </w:p>
        </w:tc>
      </w:tr>
    </w:tbl>
    <w:p>
      <w:pPr>
        <w:spacing w:after="12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0"/>
            </w:pPr>
            <w:r>
              <w:rPr>
                <w:rFonts w:ascii="Arial" w:cs="Arial" w:eastAsia="Arial" w:hAnsi="Arial"/>
                <w:b/>
                <w:bCs/>
                <w:color w:val="FFFFFF"/>
                <w:sz w:val="22"/>
                <w:szCs w:val="22"/>
              </w:rPr>
              <w:t>AGENT: AR Specialist (with Payment Date Intelligence)</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Process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Generates invoices, applies payments, executes collections sequence. Payment Date Intelligence: captures confirmed dates from client email replies ('I'll pay by Friday'), uses 12-invoice history to predict payment dates, recalibrates after payment received. Manual override via PAYMENT_DATE: YYYY-MM-DD in issue comments. Escalation: Senior Bookkeeper → CFO → Scott.</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Inputs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Work orders, GHL triggers, incoming payment notifications, client email replies with payment commitments</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Outputs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Invoices sent via QBO/Xero, payments matched, AR Aging Report, collections sequence via GHL, payment date predictions in QBO/Xero</w:t>
            </w:r>
          </w:p>
        </w:tc>
      </w:tr>
    </w:tbl>
    <w:p>
      <w:pPr>
        <w:spacing w:after="12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0"/>
            </w:pPr>
            <w:r>
              <w:rPr>
                <w:rFonts w:ascii="Arial" w:cs="Arial" w:eastAsia="Arial" w:hAnsi="Arial"/>
                <w:b/>
                <w:bCs/>
                <w:color w:val="FFFFFF"/>
                <w:sz w:val="22"/>
                <w:szCs w:val="22"/>
              </w:rPr>
              <w:t>AGENT: Payroll</w:t>
            </w:r>
            <w:r>
              <w:rPr>
                <w:rFonts w:ascii="Arial" w:cs="Arial" w:eastAsia="Arial" w:hAnsi="Arial"/>
                <w:color w:val="FFFFFF"/>
                <w:sz w:val="22"/>
                <w:szCs w:val="22"/>
              </w:rPr>
              <w:t xml:space="preserve">  —  </w:t>
            </w:r>
            <w:r>
              <w:rPr>
                <w:rFonts w:ascii="Arial" w:cs="Arial" w:eastAsia="Arial" w:hAnsi="Arial"/>
                <w:i/>
                <w:iCs/>
                <w:color w:val="FFFFFF"/>
                <w:sz w:val="22"/>
                <w:szCs w:val="22"/>
              </w:rPr>
              <w:t xml:space="preserve">Bi-weekly Wednesday 7:00 AM + Monthly 1st 11:30 AM</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Process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Monitors payroll expenses posted to QBO/Xero — does not run payroll directly (clients use Gusto/ADP/Paychex). Checks 941 deposit timing, Arizona withholding, W-2 deadlines, FUTA, 1099 vs W-2 misclassification risk. Escalation: Senior Bookkeeper → CFO → Scott.</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Inputs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QBO/Xero payroll expense transactions, payroll tax deposit tracking, client payroll provider</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Outputs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Bi-weekly scan results, monthly payroll report email, compliance flags to Senior Bookkeeper, W-2/FUTA deadline alerts in December/January</w:t>
            </w:r>
          </w:p>
        </w:tc>
      </w:tr>
    </w:tbl>
    <w:p>
      <w:pPr>
        <w:pStyle w:val="Heading2"/>
        <w:spacing w:after="120" w:before="240"/>
      </w:pPr>
      <w:r>
        <w:rPr>
          <w:rFonts w:ascii="Arial" w:cs="Arial" w:eastAsia="Arial" w:hAnsi="Arial"/>
          <w:b/>
          <w:bCs/>
          <w:color w:val="1F3A5F"/>
          <w:sz w:val="26"/>
          <w:szCs w:val="26"/>
        </w:rPr>
        <w:t xml:space="preserve">Phase 5: Month-End Reconciliation &amp; Close</w:t>
      </w:r>
    </w:p>
    <w:p>
      <w:pPr>
        <w:spacing w:after="120" w:before="0"/>
      </w:pPr>
      <w:r>
        <w:rPr>
          <w:rFonts w:ascii="Arial" w:cs="Arial" w:eastAsia="Arial" w:hAnsi="Arial"/>
          <w:i/>
          <w:iCs/>
          <w:color w:val="595959"/>
          <w:sz w:val="22"/>
          <w:szCs w:val="22"/>
        </w:rPr>
        <w:t xml:space="preserve">Accounting Division — CFO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0"/>
            </w:pPr>
            <w:r>
              <w:rPr>
                <w:rFonts w:ascii="Arial" w:cs="Arial" w:eastAsia="Arial" w:hAnsi="Arial"/>
                <w:b/>
                <w:bCs/>
                <w:color w:val="FFFFFF"/>
                <w:sz w:val="22"/>
                <w:szCs w:val="22"/>
              </w:rPr>
              <w:t>AGENT: Reconciliation Agent</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Process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Verifies categorized transactions match official bank statements to the penny. Applies the Penny Rule ($0.00 variance required). Flags stale items, duplicates, and unexplained variances.</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Inputs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Official bank and credit card statements from QBO/Xero, categorized transactions from Ledger Specialist, prior period closing reconciled balance</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Outputs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Reconciliation Report ($0.00 variance confirmed or blocked), cleared transaction confirmations, escalations to Sentinel for variances &gt;$500</w:t>
            </w:r>
          </w:p>
        </w:tc>
      </w:tr>
    </w:tbl>
    <w:p>
      <w:pPr>
        <w:spacing w:after="12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0"/>
            </w:pPr>
            <w:r>
              <w:rPr>
                <w:rFonts w:ascii="Arial" w:cs="Arial" w:eastAsia="Arial" w:hAnsi="Arial"/>
                <w:b/>
                <w:bCs/>
                <w:color w:val="FFFFFF"/>
                <w:sz w:val="22"/>
                <w:szCs w:val="22"/>
              </w:rPr>
              <w:t>AGENT: Quality Control</w:t>
            </w:r>
            <w:r>
              <w:rPr>
                <w:rFonts w:ascii="Arial" w:cs="Arial" w:eastAsia="Arial" w:hAnsi="Arial"/>
                <w:color w:val="FFFFFF"/>
                <w:sz w:val="22"/>
                <w:szCs w:val="22"/>
              </w:rPr>
              <w:t xml:space="preserve">  —  </w:t>
            </w:r>
            <w:r>
              <w:rPr>
                <w:rFonts w:ascii="Arial" w:cs="Arial" w:eastAsia="Arial" w:hAnsi="Arial"/>
                <w:i/>
                <w:iCs/>
                <w:color w:val="FFFFFF"/>
                <w:sz w:val="22"/>
                <w:szCs w:val="22"/>
              </w:rPr>
              <w:t xml:space="preserve">Daily 7:30 AM Mon–Fri + Friday 9:00 AM weekly</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Process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Daily spot-check: 20% transaction sample across four dimensions (categorization accuracy, duplicate detection, anomaly detection, KB rule coverage). Friday weekly full review with trend analysis and recommendations report emailed to scott@ledgerixpro.com. Escalation thresholds: error rate &gt;5% → Senior Bookkeeper (urgent), KB coverage &lt;50% → KB Manager.</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Inputs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Ledger Specialist completed issues, prior QC runMetrics, KB Manager activity logs</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Outputs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Daily QC spot-check results, Friday QC weekly report email, QC Alert issues, runMetrics with errorRate/autoCategorizationRate/hitlEscalationRate</w:t>
            </w:r>
          </w:p>
        </w:tc>
      </w:tr>
    </w:tbl>
    <w:p>
      <w:pPr>
        <w:spacing w:after="12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0"/>
            </w:pPr>
            <w:r>
              <w:rPr>
                <w:rFonts w:ascii="Arial" w:cs="Arial" w:eastAsia="Arial" w:hAnsi="Arial"/>
                <w:b/>
                <w:bCs/>
                <w:color w:val="FFFFFF"/>
                <w:sz w:val="22"/>
                <w:szCs w:val="22"/>
              </w:rPr>
              <w:t>AGENT: Reporter</w:t>
            </w:r>
            <w:r>
              <w:rPr>
                <w:rFonts w:ascii="Arial" w:cs="Arial" w:eastAsia="Arial" w:hAnsi="Arial"/>
                <w:color w:val="FFFFFF"/>
                <w:sz w:val="22"/>
                <w:szCs w:val="22"/>
              </w:rPr>
              <w:t xml:space="preserve">  —  </w:t>
            </w:r>
            <w:r>
              <w:rPr>
                <w:rFonts w:ascii="Arial" w:cs="Arial" w:eastAsia="Arial" w:hAnsi="Arial"/>
                <w:i/>
                <w:iCs/>
                <w:color w:val="FFFFFF"/>
                <w:sz w:val="22"/>
                <w:szCs w:val="22"/>
              </w:rPr>
              <w:t xml:space="preserve">Monday 7:30 AM + 1st of month 7:00 AM</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Process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Weekly pulse Monday morning + monthly deep dive on the 1st. Generates P&amp;L, Balance Sheet, Cash Flow Summary, AR Aging Report, and plain-English CFO-level insight per client.</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Inputs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QC-approved reconciled data from QBO/Xero, Senior Bookkeeper sign-off, client business type</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Outputs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Monthly financial package to CFO, plain-English summary for client portal, weekly pulse email to scott@ledgerixpro.com</w:t>
            </w:r>
          </w:p>
        </w:tc>
      </w:tr>
    </w:tbl>
    <w:p>
      <w:pPr>
        <w:pStyle w:val="Heading2"/>
        <w:spacing w:after="120" w:before="240"/>
      </w:pPr>
      <w:r>
        <w:rPr>
          <w:rFonts w:ascii="Arial" w:cs="Arial" w:eastAsia="Arial" w:hAnsi="Arial"/>
          <w:b/>
          <w:bCs/>
          <w:color w:val="1F3A5F"/>
          <w:sz w:val="26"/>
          <w:szCs w:val="26"/>
        </w:rPr>
        <w:t xml:space="preserve">Phase 6: Tax &amp; Compliance</w:t>
      </w:r>
    </w:p>
    <w:p>
      <w:pPr>
        <w:spacing w:after="120" w:before="0"/>
      </w:pPr>
      <w:r>
        <w:rPr>
          <w:rFonts w:ascii="Arial" w:cs="Arial" w:eastAsia="Arial" w:hAnsi="Arial"/>
          <w:i/>
          <w:iCs/>
          <w:color w:val="595959"/>
          <w:sz w:val="22"/>
          <w:szCs w:val="22"/>
        </w:rPr>
        <w:t xml:space="preserve">Accounting Division — CFO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0"/>
            </w:pPr>
            <w:r>
              <w:rPr>
                <w:rFonts w:ascii="Arial" w:cs="Arial" w:eastAsia="Arial" w:hAnsi="Arial"/>
                <w:b/>
                <w:bCs/>
                <w:color w:val="FFFFFF"/>
                <w:sz w:val="22"/>
                <w:szCs w:val="22"/>
              </w:rPr>
              <w:t>AGENT: Tax Liaison</w:t>
            </w:r>
            <w:r>
              <w:rPr>
                <w:rFonts w:ascii="Arial" w:cs="Arial" w:eastAsia="Arial" w:hAnsi="Arial"/>
                <w:color w:val="FFFFFF"/>
                <w:sz w:val="22"/>
                <w:szCs w:val="22"/>
              </w:rPr>
              <w:t xml:space="preserve">  —  </w:t>
            </w:r>
            <w:r>
              <w:rPr>
                <w:rFonts w:ascii="Arial" w:cs="Arial" w:eastAsia="Arial" w:hAnsi="Arial"/>
                <w:i/>
                <w:iCs/>
                <w:color w:val="FFFFFF"/>
                <w:sz w:val="22"/>
                <w:szCs w:val="22"/>
              </w:rPr>
              <w:t xml:space="preserve">Daily 7:00 AM + Monday 9:00 AM</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Process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Maintains federal and Arizona state tax deadline calendar. Alerts 30 days before every deadline. IRS: 1099-NEC, estimated quarterly payments, 941 deposits. Arizona: TPT, A1-QRT, estimated tax (4.5%). Prepares CPA data packages.</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Inputs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Reconciled financial data from QBO/Xero, client tax jurisdiction (federal + Arizona), payroll tax alerts from Payroll Agent</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Outputs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Daily/weekly deadline alerts, 30-day and 7-day warnings, CPA data packages, year-end close checklist</w:t>
            </w:r>
          </w:p>
        </w:tc>
      </w:tr>
    </w:tbl>
    <w:p>
      <w:pPr>
        <w:spacing w:after="12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0"/>
            </w:pPr>
            <w:r>
              <w:rPr>
                <w:rFonts w:ascii="Arial" w:cs="Arial" w:eastAsia="Arial" w:hAnsi="Arial"/>
                <w:b/>
                <w:bCs/>
                <w:color w:val="FFFFFF"/>
                <w:sz w:val="22"/>
                <w:szCs w:val="22"/>
              </w:rPr>
              <w:t>AGENT: Audit &amp; Compliance</w:t>
            </w:r>
            <w:r>
              <w:rPr>
                <w:rFonts w:ascii="Arial" w:cs="Arial" w:eastAsia="Arial" w:hAnsi="Arial"/>
                <w:color w:val="FFFFFF"/>
                <w:sz w:val="22"/>
                <w:szCs w:val="22"/>
              </w:rPr>
              <w:t xml:space="preserve">  —  </w:t>
            </w:r>
            <w:r>
              <w:rPr>
                <w:rFonts w:ascii="Arial" w:cs="Arial" w:eastAsia="Arial" w:hAnsi="Arial"/>
                <w:i/>
                <w:iCs/>
                <w:color w:val="FFFFFF"/>
                <w:sz w:val="22"/>
                <w:szCs w:val="22"/>
              </w:rPr>
              <w:t xml:space="preserve">Monday 10:15 AM + 1st of month 11:00 AM</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Process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Weekly scan + monthly deep scan. Covers IRS (1099, estimated taxes, expense documentation, 50% meal limit), Arizona (TPT, ROC contractor licenses, business licenses), and industry-specific compliance (trades ROC expiration, retail TPT, agency E&amp;O insurance). Escalation: Senior Bookkeeper → CFO → Scott. Never emails Scott for routine flags.</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Inputs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GHL contacts tagged client-active with client_type, QBO/Xero vendor payment history, GHL contact notes (ROC license, insurance docs)</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Outputs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Weekly compliance scan results, monthly compliance report email to scott@ledgerixpro.com, Paperclip issues to Senior Bookkeeper for each compliance finding</w:t>
            </w:r>
          </w:p>
        </w:tc>
      </w:tr>
    </w:tbl>
    <w:p>
      <w:pPr>
        <w:pStyle w:val="Heading2"/>
        <w:spacing w:after="120" w:before="240"/>
      </w:pPr>
      <w:r>
        <w:rPr>
          <w:rFonts w:ascii="Arial" w:cs="Arial" w:eastAsia="Arial" w:hAnsi="Arial"/>
          <w:b/>
          <w:bCs/>
          <w:color w:val="1F3A5F"/>
          <w:sz w:val="26"/>
          <w:szCs w:val="26"/>
        </w:rPr>
        <w:t xml:space="preserve">Phase 7: Internal Revenue Operations</w:t>
      </w:r>
    </w:p>
    <w:p>
      <w:pPr>
        <w:spacing w:after="120" w:before="0"/>
      </w:pPr>
      <w:r>
        <w:rPr>
          <w:rFonts w:ascii="Arial" w:cs="Arial" w:eastAsia="Arial" w:hAnsi="Arial"/>
          <w:i/>
          <w:iCs/>
          <w:color w:val="595959"/>
          <w:sz w:val="22"/>
          <w:szCs w:val="22"/>
        </w:rPr>
        <w:t xml:space="preserve">Internal Operations — CEO/CFO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0"/>
            </w:pPr>
            <w:r>
              <w:rPr>
                <w:rFonts w:ascii="Arial" w:cs="Arial" w:eastAsia="Arial" w:hAnsi="Arial"/>
                <w:b/>
                <w:bCs/>
                <w:color w:val="FFFFFF"/>
                <w:sz w:val="22"/>
                <w:szCs w:val="22"/>
              </w:rPr>
              <w:t>AGENT: Billing &amp; Invoicing</w:t>
            </w:r>
            <w:r>
              <w:rPr>
                <w:rFonts w:ascii="Arial" w:cs="Arial" w:eastAsia="Arial" w:hAnsi="Arial"/>
                <w:color w:val="FFFFFF"/>
                <w:sz w:val="22"/>
                <w:szCs w:val="22"/>
              </w:rPr>
              <w:t xml:space="preserve">  —  </w:t>
            </w:r>
            <w:r>
              <w:rPr>
                <w:rFonts w:ascii="Arial" w:cs="Arial" w:eastAsia="Arial" w:hAnsi="Arial"/>
                <w:i/>
                <w:iCs/>
                <w:color w:val="FFFFFF"/>
                <w:sz w:val="22"/>
                <w:szCs w:val="22"/>
              </w:rPr>
              <w:t xml:space="preserve">1st of month 8:00 AM</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Process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Manages Ledgerix Pro's own revenue. Sends monthly service invoices to all active clients. Service tiers: The Foundation ($199/$299), The Growth Engine ($399/$599), The Scale-Up ($999/$1,299). First 10 clients receive Charter pricing.</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Inputs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Active client roster from GHL (client-active tag), service tier custom field, contracted rates</w:t>
            </w:r>
          </w:p>
        </w:tc>
      </w:tr>
      <w:tr>
        <w:tc>
          <w:tcPr>
            <w:tcW w:type="dxa" w:w="1800"/>
            <w:tcBorders>
              <w:top w:val="single" w:color="CCCCCC" w:sz="4"/>
              <w:left w:val="single" w:color="CCCCCC" w:sz="4"/>
              <w:bottom w:val="single" w:color="CCCCCC" w:sz="4"/>
              <w:right w:val="single" w:color="CCCCCC" w:sz="4"/>
            </w:tcBorders>
            <w:shd w:fill="E7F0F9"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Outputs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0"/>
                <w:szCs w:val="20"/>
              </w:rPr>
              <w:t xml:space="preserve">Monthly invoices, MRR report to CFO and CRO, revenue leakage risk alerts, Day 30 non-payment escalations to CFO</w:t>
            </w:r>
          </w:p>
        </w:tc>
      </w:tr>
    </w:tbl>
    <w:p>
      <w:pPr>
        <w:pStyle w:val="Heading1"/>
        <w:spacing w:after="160" w:before="360"/>
      </w:pPr>
      <w:r>
        <w:rPr>
          <w:rFonts w:ascii="Arial" w:cs="Arial" w:eastAsia="Arial" w:hAnsi="Arial"/>
          <w:b/>
          <w:bCs/>
          <w:color w:val="1F3A5F"/>
          <w:sz w:val="32"/>
          <w:szCs w:val="32"/>
        </w:rPr>
        <w:t xml:space="preserve">6. Data Security &amp; Guardrails</w:t>
      </w:r>
    </w:p>
    <w:p>
      <w:pPr>
        <w:pStyle w:val="Heading2"/>
        <w:spacing w:after="120" w:before="240"/>
      </w:pPr>
      <w:r>
        <w:rPr>
          <w:rFonts w:ascii="Arial" w:cs="Arial" w:eastAsia="Arial" w:hAnsi="Arial"/>
          <w:b/>
          <w:bCs/>
          <w:color w:val="1F3A5F"/>
          <w:sz w:val="26"/>
          <w:szCs w:val="26"/>
        </w:rPr>
        <w:t xml:space="preserve">6.1 The Four Core Security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Guardrail</w:t>
            </w:r>
          </w:p>
        </w:tc>
        <w:tc>
          <w:tcPr>
            <w:tcW w:type="dxa" w:w="40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How It Works</w:t>
            </w:r>
          </w:p>
        </w:tc>
        <w:tc>
          <w:tcPr>
            <w:tcW w:type="dxa" w:w="316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 It Matters</w:t>
            </w:r>
          </w:p>
        </w:tc>
      </w:tr>
      <w:tr>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1. Data Isolation</w:t>
            </w:r>
          </w:p>
        </w:tc>
        <w:tc>
          <w:tcPr>
            <w:tcW w:type="dxa" w:w="4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Each client keyed by GHL contact ID in accounting_connections. All agent queries filter by contact_id. No agent can access another client's data.</w:t>
            </w:r>
          </w:p>
        </w:tc>
        <w:tc>
          <w:tcPr>
            <w:tcW w:type="dxa" w:w="31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Company A's books never touch Company B's data. A breach is a Level 1 emergency.</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2. Access Limits</w:t>
            </w:r>
          </w:p>
        </w:tc>
        <w:tc>
          <w:tcPr>
            <w:tcW w:type="dxa" w:w="4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QBO and Xero OAuth scopes: read-only for reports, read/write for transactions. Money movement is never requested in OAuth scopes.</w:t>
            </w:r>
          </w:p>
        </w:tc>
        <w:tc>
          <w:tcPr>
            <w:tcW w:type="dxa" w:w="3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Even a compromised agent cannot move money. Worst case: a miscategorized transaction.</w:t>
            </w:r>
          </w:p>
        </w:tc>
      </w:tr>
      <w:tr>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3. Token Budgeting</w:t>
            </w:r>
          </w:p>
        </w:tc>
        <w:tc>
          <w:tcPr>
            <w:tcW w:type="dxa" w:w="4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 budget caps enforced in Paperclip. Current beta caps ~$215/mo for 2 clients. Scale targets: ~$1,225 at 25, ~$3,110 at 75, ~$5,480 at 150, ~$9,700 at 300.</w:t>
            </w:r>
          </w:p>
        </w:tc>
        <w:tc>
          <w:tcPr>
            <w:tcW w:type="dxa" w:w="31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Prevents AI cost runaway. Revisit at each 25-client milestone.</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4. Human Gate</w:t>
            </w:r>
          </w:p>
        </w:tc>
        <w:tc>
          <w:tcPr>
            <w:tcW w:type="dxa" w:w="4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No transaction marked Verified below 95% Senior Bookkeeper confidence. All HITL flags held for human review in dashboard queue.</w:t>
            </w:r>
          </w:p>
        </w:tc>
        <w:tc>
          <w:tcPr>
            <w:tcW w:type="dxa" w:w="3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AI does the work, humans own the outcome. Core trust mechanism for clients.</w:t>
            </w:r>
          </w:p>
        </w:tc>
      </w:tr>
    </w:tbl>
    <w:p>
      <w:pPr>
        <w:pStyle w:val="Heading2"/>
        <w:spacing w:after="120" w:before="240"/>
      </w:pPr>
      <w:r>
        <w:rPr>
          <w:rFonts w:ascii="Arial" w:cs="Arial" w:eastAsia="Arial" w:hAnsi="Arial"/>
          <w:b/>
          <w:bCs/>
          <w:color w:val="1F3A5F"/>
          <w:sz w:val="26"/>
          <w:szCs w:val="26"/>
        </w:rPr>
        <w:t xml:space="preserve">6.2 Escalation Chain</w:t>
      </w:r>
    </w:p>
    <w:p>
      <w:pPr>
        <w:spacing w:after="120" w:before="0"/>
      </w:pPr>
      <w:r>
        <w:rPr>
          <w:rFonts w:ascii="Arial" w:cs="Arial" w:eastAsia="Arial" w:hAnsi="Arial"/>
          <w:color w:val="1A1A1A"/>
          <w:sz w:val="22"/>
          <w:szCs w:val="22"/>
        </w:rPr>
        <w:t xml:space="preserve">Standard escalation chain across all Ledgerix Pro agents:</w:t>
      </w:r>
    </w:p>
    <w:p>
      <w:pPr>
        <w:spacing w:after="120" w:before="0"/>
        <w:jc w:val="center"/>
      </w:pPr>
      <w:r>
        <w:rPr>
          <w:rFonts w:ascii="Arial" w:cs="Arial" w:eastAsia="Arial" w:hAnsi="Arial"/>
          <w:b/>
          <w:bCs/>
          <w:color w:val="1F3A5F"/>
          <w:sz w:val="26"/>
          <w:szCs w:val="26"/>
        </w:rPr>
        <w:t xml:space="preserve">Senior Bookkeeper → CFO → Scott</w:t>
      </w:r>
    </w:p>
    <w:p>
      <w:pPr>
        <w:spacing w:after="120" w:before="0"/>
      </w:pPr>
      <w:r>
        <w:rPr>
          <w:rFonts w:ascii="Arial" w:cs="Arial" w:eastAsia="Arial" w:hAnsi="Arial"/>
          <w:color w:val="1A1A1A"/>
          <w:sz w:val="22"/>
          <w:szCs w:val="22"/>
        </w:rPr>
        <w:t xml:space="preserve">No agent contacts Scott directly for routine operational issues. Scott is notified only when the escalation chain is exhausted or for Level 3 events (confirmed fraud, data breach, client cancellation).</w:t>
      </w:r>
    </w:p>
    <w:p>
      <w:pPr>
        <w:pStyle w:val="Heading2"/>
        <w:spacing w:after="120" w:before="240"/>
      </w:pPr>
      <w:r>
        <w:rPr>
          <w:rFonts w:ascii="Arial" w:cs="Arial" w:eastAsia="Arial" w:hAnsi="Arial"/>
          <w:b/>
          <w:bCs/>
          <w:color w:val="1F3A5F"/>
          <w:sz w:val="26"/>
          <w:szCs w:val="26"/>
        </w:rPr>
        <w:t xml:space="preserve">6.3 Human-in-the-Loop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Gate</w:t>
            </w:r>
          </w:p>
        </w:tc>
        <w:tc>
          <w:tcPr>
            <w:tcW w:type="dxa" w:w="656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Trigger / Condition</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95% confidence threshold</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Senior Bookkeeper flags any transaction below 95% confidence with Reason for Doubt</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$0.00 reconciliation close</w:t>
            </w:r>
          </w:p>
        </w:tc>
        <w:tc>
          <w:tcPr>
            <w:tcW w:type="dxa" w:w="6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Senior Bookkeeper and CFO must sign off before period is declared closed</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New Chart of Accounts category</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No new COA category created without human administrator approval</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Payroll runs &gt;$10,000</w:t>
            </w:r>
          </w:p>
        </w:tc>
        <w:tc>
          <w:tcPr>
            <w:tcW w:type="dxa" w:w="6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CFO must sign off before processing</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Client cancellation</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CEO and human admin must lead — no autonomous retention</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Level 3 financial risk</w:t>
            </w:r>
          </w:p>
        </w:tc>
        <w:tc>
          <w:tcPr>
            <w:tcW w:type="dxa" w:w="6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Confirmed fraud or material misstatement — immediate CEO notification, workspace paused</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Data isolation breach</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Any cross-client data event — Level 1 emergency, CEO + human admin notified immediately</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Budget cap exceptions</w:t>
            </w:r>
          </w:p>
        </w:tc>
        <w:tc>
          <w:tcPr>
            <w:tcW w:type="dxa" w:w="6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CEO must authorize any exception to per-client budget caps</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Reactivation offers</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CRO must authorize all win-back offers with defined expiration dates</w:t>
            </w:r>
          </w:p>
        </w:tc>
      </w:tr>
    </w:tbl>
    <w:p>
      <w:pPr>
        <w:pStyle w:val="Heading2"/>
        <w:spacing w:after="120" w:before="240"/>
      </w:pPr>
      <w:r>
        <w:rPr>
          <w:rFonts w:ascii="Arial" w:cs="Arial" w:eastAsia="Arial" w:hAnsi="Arial"/>
          <w:b/>
          <w:bCs/>
          <w:color w:val="1F3A5F"/>
          <w:sz w:val="26"/>
          <w:szCs w:val="26"/>
        </w:rPr>
        <w:t xml:space="preserve">6.4 API Key &amp; Secret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Secret</w:t>
            </w:r>
          </w:p>
        </w:tc>
        <w:tc>
          <w:tcPr>
            <w:tcW w:type="dxa" w:w="22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Storage</w:t>
            </w:r>
          </w:p>
        </w:tc>
        <w:tc>
          <w:tcPr>
            <w:tcW w:type="dxa" w:w="476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Protection Method</w:t>
            </w:r>
          </w:p>
        </w:tc>
      </w:tr>
      <w:tr>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ANTHROPIC_API_KEY</w:t>
            </w:r>
          </w:p>
        </w:tc>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Railway env var (no quotes)</w:t>
            </w:r>
          </w:p>
        </w:tc>
        <w:tc>
          <w:tcPr>
            <w:tcW w:type="dxa" w:w="47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Never committed. Critical: no quotes in Railway env vars — quoted values cause auth failures.</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GHL_API_KEY</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Railway env var</w:t>
            </w:r>
          </w:p>
        </w:tc>
        <w:tc>
          <w:tcPr>
            <w:tcW w:type="dxa" w:w="4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Never committed. Rotated every 90 days.</w:t>
            </w:r>
          </w:p>
        </w:tc>
      </w:tr>
      <w:tr>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GHL_WEBHOOK_SECRET</w:t>
            </w:r>
          </w:p>
        </w:tc>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Railway env var</w:t>
            </w:r>
          </w:p>
        </w:tc>
        <w:tc>
          <w:tcPr>
            <w:tcW w:type="dxa" w:w="47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Shared secret — X-Ledgerix-Secret header on every inbound GHL webhook</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ENCRYPTION_KEY</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Railway env var</w:t>
            </w:r>
          </w:p>
        </w:tc>
        <w:tc>
          <w:tcPr>
            <w:tcW w:type="dxa" w:w="4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32-byte hex key for encrypting OAuth refresh tokens at rest</w:t>
            </w:r>
          </w:p>
        </w:tc>
      </w:tr>
      <w:tr>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DASHBOARD_SECRET</w:t>
            </w:r>
          </w:p>
        </w:tc>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Railway env var</w:t>
            </w:r>
          </w:p>
        </w:tc>
        <w:tc>
          <w:tcPr>
            <w:tcW w:type="dxa" w:w="47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SHA-256 hash — protects /dashboard route</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QBO_CLIENT_ID/SECRET</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Railway env var</w:t>
            </w:r>
          </w:p>
        </w:tc>
        <w:tc>
          <w:tcPr>
            <w:tcW w:type="dxa" w:w="4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OAuth 2.0 for QuickBooks Online</w:t>
            </w:r>
          </w:p>
        </w:tc>
      </w:tr>
      <w:tr>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XERO_CLIENT_ID/SECRET</w:t>
            </w:r>
          </w:p>
        </w:tc>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Railway env var</w:t>
            </w:r>
          </w:p>
        </w:tc>
        <w:tc>
          <w:tcPr>
            <w:tcW w:type="dxa" w:w="47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OAuth 2.0 for Xero — LIVE</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DATABASE_URL</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Railway env var (internal)</w:t>
            </w:r>
          </w:p>
        </w:tc>
        <w:tc>
          <w:tcPr>
            <w:tcW w:type="dxa" w:w="4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Railway internal Postgres connection string</w:t>
            </w:r>
          </w:p>
        </w:tc>
      </w:tr>
      <w:tr>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GOOGLE_PLACE_ID</w:t>
            </w:r>
          </w:p>
        </w:tc>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Railway env var (pending)</w:t>
            </w:r>
          </w:p>
        </w:tc>
        <w:tc>
          <w:tcPr>
            <w:tcW w:type="dxa" w:w="47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Added when Google Business profile is claimed — used by Referral &amp; Reviews agent</w:t>
            </w:r>
          </w:p>
        </w:tc>
      </w:tr>
    </w:tbl>
    <w:p>
      <w:pPr>
        <w:pStyle w:val="Heading1"/>
        <w:spacing w:after="160" w:before="360"/>
      </w:pPr>
      <w:r>
        <w:rPr>
          <w:rFonts w:ascii="Arial" w:cs="Arial" w:eastAsia="Arial" w:hAnsi="Arial"/>
          <w:b/>
          <w:bCs/>
          <w:color w:val="1F3A5F"/>
          <w:sz w:val="32"/>
          <w:szCs w:val="32"/>
        </w:rPr>
        <w:t xml:space="preserve">7. Service Tiers &amp; Pricing</w:t>
      </w:r>
    </w:p>
    <w:p>
      <w:pPr>
        <w:spacing w:after="120" w:before="0"/>
      </w:pPr>
      <w:r>
        <w:rPr>
          <w:rFonts w:ascii="Arial" w:cs="Arial" w:eastAsia="Arial" w:hAnsi="Arial"/>
          <w:b/>
          <w:bCs/>
          <w:color w:val="2E75B6"/>
          <w:sz w:val="22"/>
          <w:szCs w:val="22"/>
        </w:rPr>
        <w:t xml:space="preserve">Updated May 17, 2026 (v3.2). </w:t>
      </w:r>
      <w:r>
        <w:rPr>
          <w:rFonts w:ascii="Arial" w:cs="Arial" w:eastAsia="Arial" w:hAnsi="Arial"/>
          <w:color w:val="1A1A1A"/>
          <w:sz w:val="22"/>
          <w:szCs w:val="22"/>
        </w:rPr>
        <w:t xml:space="preserve">Growth Engine Standard moved from $499 to $599 and Scale-Up repriced to $999/$1,299 to match market positioning for specialist trades and agency bookkeeping. First 10 clients receive Charter pricing; the Charter benefit follows the client across tier upgrades and downgrades for as long as service is continuous (see Section 7.1 Charter Pricing Window). All pricing is monthly recurring.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80"/>
        <w:gridCol w:w="1480"/>
        <w:gridCol w:w="2400"/>
      </w:tblGrid>
      <w:tr>
        <w:trPr>
          <w:tblHeader/>
        </w:trPr>
        <w:tc>
          <w:tcPr>
            <w:tcW w:type="dxa" w:w="18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Tier</w:t>
            </w:r>
          </w:p>
        </w:tc>
        <w:tc>
          <w:tcPr>
            <w:tcW w:type="dxa" w:w="22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Target Client</w:t>
            </w:r>
          </w:p>
        </w:tc>
        <w:tc>
          <w:tcPr>
            <w:tcW w:type="dxa" w:w="148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Charter</w:t>
            </w:r>
          </w:p>
        </w:tc>
        <w:tc>
          <w:tcPr>
            <w:tcW w:type="dxa" w:w="148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Standard</w:t>
            </w:r>
          </w:p>
        </w:tc>
        <w:tc>
          <w:tcPr>
            <w:tcW w:type="dxa" w:w="24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Features</w:t>
            </w:r>
          </w:p>
        </w:tc>
      </w:tr>
      <w:tr>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The Foundation</w:t>
            </w:r>
          </w:p>
        </w:tc>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Freelancers &amp; Micro-business</w:t>
            </w:r>
          </w:p>
        </w:tc>
        <w:tc>
          <w:tcPr>
            <w:tcW w:type="dxa" w:w="14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jc w:val="center"/>
            </w:pPr>
            <w:r>
              <w:rPr>
                <w:rFonts w:ascii="Arial" w:cs="Arial" w:eastAsia="Arial" w:hAnsi="Arial"/>
                <w:b/>
                <w:bCs/>
                <w:color w:val="1A1A1A"/>
                <w:sz w:val="20"/>
                <w:szCs w:val="20"/>
              </w:rPr>
              <w:t xml:space="preserve">$199/mo</w:t>
            </w:r>
          </w:p>
        </w:tc>
        <w:tc>
          <w:tcPr>
            <w:tcW w:type="dxa" w:w="14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jc w:val="center"/>
            </w:pPr>
            <w:r>
              <w:rPr>
                <w:rFonts w:ascii="Arial" w:cs="Arial" w:eastAsia="Arial" w:hAnsi="Arial"/>
                <w:b/>
                <w:bCs/>
                <w:color w:val="1A1A1A"/>
                <w:sz w:val="20"/>
                <w:szCs w:val="20"/>
              </w:rPr>
              <w:t xml:space="preserve">$299/mo</w:t>
            </w:r>
          </w:p>
        </w:tc>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Full bookkeeping, monthly P&amp;L, tax deadline alerts</w:t>
            </w:r>
          </w:p>
        </w:tc>
      </w:tr>
      <w:tr>
        <w:tc>
          <w:tcPr>
            <w:tcW w:type="dxa" w:w="1800"/>
            <w:tcBorders>
              <w:top w:val="single" w:color="CCCCCC" w:sz="4"/>
              <w:left w:val="single" w:color="CCCCCC" w:sz="4"/>
              <w:bottom w:val="single" w:color="CCCCCC" w:sz="4"/>
              <w:right w:val="single" w:color="CCCCCC" w:sz="4"/>
            </w:tcBorders>
            <w:shd w:fill="FFF4D6"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The Growth Engine</w:t>
            </w:r>
          </w:p>
        </w:tc>
        <w:tc>
          <w:tcPr>
            <w:tcW w:type="dxa" w:w="2200"/>
            <w:tcBorders>
              <w:top w:val="single" w:color="CCCCCC" w:sz="4"/>
              <w:left w:val="single" w:color="CCCCCC" w:sz="4"/>
              <w:bottom w:val="single" w:color="CCCCCC" w:sz="4"/>
              <w:right w:val="single" w:color="CCCCCC" w:sz="4"/>
            </w:tcBorders>
            <w:shd w:fill="FFF4D6"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Local Trades &amp; Service businesses</w:t>
            </w:r>
          </w:p>
        </w:tc>
        <w:tc>
          <w:tcPr>
            <w:tcW w:type="dxa" w:w="1480"/>
            <w:tcBorders>
              <w:top w:val="single" w:color="CCCCCC" w:sz="4"/>
              <w:left w:val="single" w:color="CCCCCC" w:sz="4"/>
              <w:bottom w:val="single" w:color="CCCCCC" w:sz="4"/>
              <w:right w:val="single" w:color="CCCCCC" w:sz="4"/>
            </w:tcBorders>
            <w:shd w:fill="FFF4D6" w:color="auto" w:val="clear"/>
            <w:tcMar>
              <w:top w:type="dxa" w:w="80"/>
              <w:left w:type="dxa" w:w="120"/>
              <w:bottom w:type="dxa" w:w="80"/>
              <w:right w:type="dxa" w:w="120"/>
            </w:tcMar>
          </w:tcPr>
          <w:p>
            <w:pPr>
              <w:spacing w:after="0"/>
              <w:jc w:val="center"/>
            </w:pPr>
            <w:r>
              <w:rPr>
                <w:rFonts w:ascii="Arial" w:cs="Arial" w:eastAsia="Arial" w:hAnsi="Arial"/>
                <w:b/>
                <w:bCs/>
                <w:color w:val="1A1A1A"/>
                <w:sz w:val="20"/>
                <w:szCs w:val="20"/>
              </w:rPr>
              <w:t xml:space="preserve">$399/mo</w:t>
            </w:r>
          </w:p>
        </w:tc>
        <w:tc>
          <w:tcPr>
            <w:tcW w:type="dxa" w:w="1480"/>
            <w:tcBorders>
              <w:top w:val="single" w:color="CCCCCC" w:sz="4"/>
              <w:left w:val="single" w:color="CCCCCC" w:sz="4"/>
              <w:bottom w:val="single" w:color="CCCCCC" w:sz="4"/>
              <w:right w:val="single" w:color="CCCCCC" w:sz="4"/>
            </w:tcBorders>
            <w:shd w:fill="FFF4D6" w:color="auto" w:val="clear"/>
            <w:tcMar>
              <w:top w:type="dxa" w:w="80"/>
              <w:left w:type="dxa" w:w="120"/>
              <w:bottom w:type="dxa" w:w="80"/>
              <w:right w:type="dxa" w:w="120"/>
            </w:tcMar>
          </w:tcPr>
          <w:p>
            <w:pPr>
              <w:spacing w:after="0"/>
              <w:jc w:val="center"/>
            </w:pPr>
            <w:r>
              <w:rPr>
                <w:rFonts w:ascii="Arial" w:cs="Arial" w:eastAsia="Arial" w:hAnsi="Arial"/>
                <w:b/>
                <w:bCs/>
                <w:color w:val="1F3A5F"/>
                <w:sz w:val="20"/>
                <w:szCs w:val="20"/>
              </w:rPr>
              <w:t xml:space="preserve">$599/mo</w:t>
            </w:r>
          </w:p>
        </w:tc>
        <w:tc>
          <w:tcPr>
            <w:tcW w:type="dxa" w:w="2400"/>
            <w:tcBorders>
              <w:top w:val="single" w:color="CCCCCC" w:sz="4"/>
              <w:left w:val="single" w:color="CCCCCC" w:sz="4"/>
              <w:bottom w:val="single" w:color="CCCCCC" w:sz="4"/>
              <w:right w:val="single" w:color="CCCCCC" w:sz="4"/>
            </w:tcBorders>
            <w:shd w:fill="FFF4D6"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Foundation + job costing, ROC license tracking, TPT compliance</w:t>
            </w:r>
          </w:p>
        </w:tc>
      </w:tr>
      <w:tr>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The Scale-Up</w:t>
            </w:r>
          </w:p>
        </w:tc>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Agencies &amp; Law Firms</w:t>
            </w:r>
          </w:p>
        </w:tc>
        <w:tc>
          <w:tcPr>
            <w:tcW w:type="dxa" w:w="14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jc w:val="center"/>
            </w:pPr>
            <w:r>
              <w:rPr>
                <w:rFonts w:ascii="Arial" w:cs="Arial" w:eastAsia="Arial" w:hAnsi="Arial"/>
                <w:b/>
                <w:bCs/>
                <w:color w:val="1A1A1A"/>
                <w:sz w:val="20"/>
                <w:szCs w:val="20"/>
              </w:rPr>
              <w:t xml:space="preserve">$999/mo</w:t>
            </w:r>
          </w:p>
        </w:tc>
        <w:tc>
          <w:tcPr>
            <w:tcW w:type="dxa" w:w="14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jc w:val="center"/>
            </w:pPr>
            <w:r>
              <w:rPr>
                <w:rFonts w:ascii="Arial" w:cs="Arial" w:eastAsia="Arial" w:hAnsi="Arial"/>
                <w:b/>
                <w:bCs/>
                <w:color w:val="1A1A1A"/>
                <w:sz w:val="20"/>
                <w:szCs w:val="20"/>
              </w:rPr>
              <w:t xml:space="preserve">$1,299/mo</w:t>
            </w:r>
          </w:p>
        </w:tc>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Growth Engine + trust account compliance, E&amp;O tracking, multi-entity</w:t>
            </w:r>
          </w:p>
        </w:tc>
      </w:tr>
    </w:tbl>
    <w:p>
      <w:pPr>
        <w:spacing w:after="120" w:before="240"/>
      </w:pPr>
      <w:r>
        <w:rPr>
          <w:rFonts w:ascii="Arial" w:cs="Arial" w:eastAsia="Arial" w:hAnsi="Arial"/>
          <w:b/>
          <w:bCs/>
          <w:color w:val="1F3A5F"/>
          <w:sz w:val="24"/>
          <w:szCs w:val="24"/>
        </w:rPr>
        <w:t xml:space="preserve">Setup &amp; Migration Fee</w:t>
      </w:r>
    </w:p>
    <w:p>
      <w:pPr>
        <w:spacing w:after="120" w:before="0"/>
      </w:pPr>
      <w:r>
        <w:rPr>
          <w:rFonts w:ascii="Arial" w:cs="Arial" w:eastAsia="Arial" w:hAnsi="Arial"/>
          <w:color w:val="1A1A1A"/>
          <w:sz w:val="22"/>
          <w:szCs w:val="22"/>
        </w:rPr>
        <w:t xml:space="preserve">All clients (including Charter) pay a one-time setup fee at onboarding. The fee covers chart of accounts review, vendor categorization rules, platform connection, workflow training, and (for prospects not currently on QBO or Xero) data migration. No waivers.</w:t>
      </w:r>
    </w:p>
    <w:tbl>
      <w:tblPr>
        <w:tblW w:type="dxa" w:w="60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3000"/>
      </w:tblGrid>
      <w:tr>
        <w:tc>
          <w:tcPr>
            <w:tcW w:type="dxa" w:w="3000"/>
            <w:tcBorders>
              <w:top w:val="single" w:color="CCCCCC" w:sz="4"/>
              <w:left w:val="single" w:color="CCCCCC" w:sz="4"/>
              <w:bottom w:val="single" w:color="CCCCCC" w:sz="4"/>
              <w:right w:val="single" w:color="CCCCCC" w:sz="4"/>
            </w:tcBorders>
            <w:shd w:fill="E7F0F9" w:val="clear"/>
            <w:tcMar>
              <w:top w:type="dxa" w:w="80"/>
              <w:left w:type="dxa" w:w="120"/>
              <w:bottom w:type="dxa" w:w="80"/>
              <w:right w:type="dxa" w:w="120"/>
            </w:tcMar>
          </w:tcPr>
          <w:p>
            <w:pPr>
              <w:spacing w:after="0"/>
            </w:pPr>
            <w:r>
              <w:rPr>
                <w:rFonts w:ascii="Arial" w:cs="Arial" w:eastAsia="Arial" w:hAnsi="Arial"/>
                <w:b/>
                <w:bCs/>
                <w:color w:val="1F3A5F"/>
                <w:sz w:val="22"/>
                <w:szCs w:val="22"/>
              </w:rPr>
              <w:t xml:space="preserve">Tier</w:t>
            </w:r>
          </w:p>
        </w:tc>
        <w:tc>
          <w:tcPr>
            <w:tcW w:type="dxa" w:w="3000"/>
            <w:tcBorders>
              <w:top w:val="single" w:color="CCCCCC" w:sz="4"/>
              <w:left w:val="single" w:color="CCCCCC" w:sz="4"/>
              <w:bottom w:val="single" w:color="CCCCCC" w:sz="4"/>
              <w:right w:val="single" w:color="CCCCCC" w:sz="4"/>
            </w:tcBorders>
            <w:shd w:fill="E7F0F9" w:val="clear"/>
            <w:tcMar>
              <w:top w:type="dxa" w:w="80"/>
              <w:left w:type="dxa" w:w="120"/>
              <w:bottom w:type="dxa" w:w="80"/>
              <w:right w:type="dxa" w:w="120"/>
            </w:tcMar>
          </w:tcPr>
          <w:p>
            <w:pPr>
              <w:spacing w:after="0"/>
            </w:pPr>
            <w:r>
              <w:rPr>
                <w:rFonts w:ascii="Arial" w:cs="Arial" w:eastAsia="Arial" w:hAnsi="Arial"/>
                <w:b/>
                <w:bCs/>
                <w:color w:val="1F3A5F"/>
                <w:sz w:val="22"/>
                <w:szCs w:val="22"/>
              </w:rPr>
              <w:t xml:space="preserve">Setup Fee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2"/>
                <w:szCs w:val="22"/>
              </w:rPr>
              <w:t xml:space="preserve">The Foundation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color w:val="1A1A1A"/>
                <w:sz w:val="22"/>
                <w:szCs w:val="22"/>
              </w:rPr>
              <w:t xml:space="preserve">$249</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2"/>
                <w:szCs w:val="22"/>
              </w:rPr>
              <w:t xml:space="preserve">The Growth Engine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color w:val="1A1A1A"/>
                <w:sz w:val="22"/>
                <w:szCs w:val="22"/>
              </w:rPr>
              <w:t xml:space="preserve">$349</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2"/>
                <w:szCs w:val="22"/>
              </w:rPr>
              <w:t xml:space="preserve">The Scale-Up</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color w:val="1A1A1A"/>
                <w:sz w:val="22"/>
                <w:szCs w:val="22"/>
              </w:rPr>
              <w:t xml:space="preserve">$1,200</w:t>
            </w:r>
          </w:p>
        </w:tc>
      </w:tr>
    </w:tbl>
    <w:p>
      <w:pPr>
        <w:spacing w:after="120" w:before="120"/>
      </w:pPr>
      <w:r>
        <w:rPr>
          <w:rFonts w:ascii="Arial" w:cs="Arial" w:eastAsia="Arial" w:hAnsi="Arial"/>
          <w:color w:val="1A1A1A"/>
          <w:sz w:val="22"/>
          <w:szCs w:val="22"/>
        </w:rPr>
        <w:t xml:space="preserve">The setup fee applies once at onboarding. It is non-refundable except per the 30-day satisfaction guarantee (see Strategic Plan).</w:t>
      </w:r>
    </w:p>
    <w:p>
      <w:pPr>
        <w:pStyle w:val="Heading2"/>
        <w:spacing w:after="120" w:before="240"/>
      </w:pPr>
      <w:r>
        <w:rPr>
          <w:rFonts w:ascii="Arial" w:cs="Arial" w:eastAsia="Arial" w:hAnsi="Arial"/>
          <w:b/>
          <w:bCs/>
          <w:color w:val="1F3A5F"/>
          <w:sz w:val="26"/>
          <w:szCs w:val="26"/>
        </w:rPr>
        <w:t xml:space="preserve">7.1 Tier Qualifiers</w:t>
      </w:r>
    </w:p>
    <w:p>
      <w:pPr>
        <w:spacing w:after="120" w:before="0"/>
      </w:pPr>
      <w:r>
        <w:rPr>
          <w:rFonts w:ascii="Arial" w:cs="Arial" w:eastAsia="Arial" w:hAnsi="Arial"/>
          <w:color w:val="1A1A1A"/>
          <w:sz w:val="22"/>
          <w:szCs w:val="22"/>
        </w:rPr>
        <w:t xml:space="preserve">Industry framing drives the marketing pitch; the qualifiers below drive the price quoted at the discovery call. Most qualifiers must match to land a client in a given tier. If a client splits across tiers (for example, Growth Engine on transaction volume but Scale-Up on entity count), price to the higher tier and call out the upgrade rationale in the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240"/>
        <w:gridCol w:w="2240"/>
        <w:gridCol w:w="2240"/>
      </w:tblGrid>
      <w:tr>
        <w:trPr>
          <w:tblHeader/>
        </w:trPr>
        <w:tc>
          <w:tcPr>
            <w:tcW w:type="dxa" w:w="264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Qualifier</w:t>
            </w:r>
          </w:p>
        </w:tc>
        <w:tc>
          <w:tcPr>
            <w:tcW w:type="dxa" w:w="224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Foundation</w:t>
            </w:r>
          </w:p>
        </w:tc>
        <w:tc>
          <w:tcPr>
            <w:tcW w:type="dxa" w:w="224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Growth Engine</w:t>
            </w:r>
          </w:p>
        </w:tc>
        <w:tc>
          <w:tcPr>
            <w:tcW w:type="dxa" w:w="224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Scale-Up</w:t>
            </w:r>
          </w:p>
        </w:tc>
      </w:tr>
      <w:tr>
        <w:tc>
          <w:tcPr>
            <w:tcW w:type="dxa" w:w="26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Monthly transaction volume</w:t>
            </w:r>
          </w:p>
        </w:tc>
        <w:tc>
          <w:tcPr>
            <w:tcW w:type="dxa" w:w="22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Up to 75</w:t>
            </w:r>
          </w:p>
        </w:tc>
        <w:tc>
          <w:tcPr>
            <w:tcW w:type="dxa" w:w="2240"/>
            <w:tcBorders>
              <w:top w:val="single" w:color="CCCCCC" w:sz="4"/>
              <w:left w:val="single" w:color="CCCCCC" w:sz="4"/>
              <w:bottom w:val="single" w:color="CCCCCC" w:sz="4"/>
              <w:right w:val="single" w:color="CCCCCC" w:sz="4"/>
            </w:tcBorders>
            <w:shd w:fill="FFF4D6"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75–300</w:t>
            </w:r>
          </w:p>
        </w:tc>
        <w:tc>
          <w:tcPr>
            <w:tcW w:type="dxa" w:w="22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300+</w:t>
            </w:r>
          </w:p>
        </w:tc>
      </w:tr>
      <w:tr>
        <w:tc>
          <w:tcPr>
            <w:tcW w:type="dxa" w:w="26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Bank/credit accounts</w:t>
            </w:r>
          </w:p>
        </w:tc>
        <w:tc>
          <w:tcPr>
            <w:tcW w:type="dxa" w:w="22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1–2</w:t>
            </w:r>
          </w:p>
        </w:tc>
        <w:tc>
          <w:tcPr>
            <w:tcW w:type="dxa" w:w="2240"/>
            <w:tcBorders>
              <w:top w:val="single" w:color="CCCCCC" w:sz="4"/>
              <w:left w:val="single" w:color="CCCCCC" w:sz="4"/>
              <w:bottom w:val="single" w:color="CCCCCC" w:sz="4"/>
              <w:right w:val="single" w:color="CCCCCC" w:sz="4"/>
            </w:tcBorders>
            <w:shd w:fill="FFFAEB"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2–5</w:t>
            </w:r>
          </w:p>
        </w:tc>
        <w:tc>
          <w:tcPr>
            <w:tcW w:type="dxa" w:w="22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5+</w:t>
            </w:r>
          </w:p>
        </w:tc>
      </w:tr>
      <w:tr>
        <w:tc>
          <w:tcPr>
            <w:tcW w:type="dxa" w:w="26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Employees on payroll</w:t>
            </w:r>
          </w:p>
        </w:tc>
        <w:tc>
          <w:tcPr>
            <w:tcW w:type="dxa" w:w="22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0–2</w:t>
            </w:r>
          </w:p>
        </w:tc>
        <w:tc>
          <w:tcPr>
            <w:tcW w:type="dxa" w:w="2240"/>
            <w:tcBorders>
              <w:top w:val="single" w:color="CCCCCC" w:sz="4"/>
              <w:left w:val="single" w:color="CCCCCC" w:sz="4"/>
              <w:bottom w:val="single" w:color="CCCCCC" w:sz="4"/>
              <w:right w:val="single" w:color="CCCCCC" w:sz="4"/>
            </w:tcBorders>
            <w:shd w:fill="FFF4D6"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3–15</w:t>
            </w:r>
          </w:p>
        </w:tc>
        <w:tc>
          <w:tcPr>
            <w:tcW w:type="dxa" w:w="22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10–25</w:t>
            </w:r>
          </w:p>
        </w:tc>
      </w:tr>
      <w:tr>
        <w:tc>
          <w:tcPr>
            <w:tcW w:type="dxa" w:w="26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Accounting integrations</w:t>
            </w:r>
          </w:p>
        </w:tc>
        <w:tc>
          <w:tcPr>
            <w:tcW w:type="dxa" w:w="22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1 platform</w:t>
            </w:r>
          </w:p>
        </w:tc>
        <w:tc>
          <w:tcPr>
            <w:tcW w:type="dxa" w:w="2240"/>
            <w:tcBorders>
              <w:top w:val="single" w:color="CCCCCC" w:sz="4"/>
              <w:left w:val="single" w:color="CCCCCC" w:sz="4"/>
              <w:bottom w:val="single" w:color="CCCCCC" w:sz="4"/>
              <w:right w:val="single" w:color="CCCCCC" w:sz="4"/>
            </w:tcBorders>
            <w:shd w:fill="FFFAEB"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2–3 platforms (FSM, etc.)</w:t>
            </w:r>
          </w:p>
        </w:tc>
        <w:tc>
          <w:tcPr>
            <w:tcW w:type="dxa" w:w="22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3+ platforms</w:t>
            </w:r>
          </w:p>
        </w:tc>
      </w:tr>
      <w:tr>
        <w:tc>
          <w:tcPr>
            <w:tcW w:type="dxa" w:w="26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Annual revenue</w:t>
            </w:r>
          </w:p>
        </w:tc>
        <w:tc>
          <w:tcPr>
            <w:tcW w:type="dxa" w:w="22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Under $500K</w:t>
            </w:r>
          </w:p>
        </w:tc>
        <w:tc>
          <w:tcPr>
            <w:tcW w:type="dxa" w:w="2240"/>
            <w:tcBorders>
              <w:top w:val="single" w:color="CCCCCC" w:sz="4"/>
              <w:left w:val="single" w:color="CCCCCC" w:sz="4"/>
              <w:bottom w:val="single" w:color="CCCCCC" w:sz="4"/>
              <w:right w:val="single" w:color="CCCCCC" w:sz="4"/>
            </w:tcBorders>
            <w:shd w:fill="FFF4D6"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$500K–$3M</w:t>
            </w:r>
          </w:p>
        </w:tc>
        <w:tc>
          <w:tcPr>
            <w:tcW w:type="dxa" w:w="22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$2M+</w:t>
            </w:r>
          </w:p>
        </w:tc>
      </w:tr>
      <w:tr>
        <w:tc>
          <w:tcPr>
            <w:tcW w:type="dxa" w:w="26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Job costing required</w:t>
            </w:r>
          </w:p>
        </w:tc>
        <w:tc>
          <w:tcPr>
            <w:tcW w:type="dxa" w:w="22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No</w:t>
            </w:r>
          </w:p>
        </w:tc>
        <w:tc>
          <w:tcPr>
            <w:tcW w:type="dxa" w:w="2240"/>
            <w:tcBorders>
              <w:top w:val="single" w:color="CCCCCC" w:sz="4"/>
              <w:left w:val="single" w:color="CCCCCC" w:sz="4"/>
              <w:bottom w:val="single" w:color="CCCCCC" w:sz="4"/>
              <w:right w:val="single" w:color="CCCCCC" w:sz="4"/>
            </w:tcBorders>
            <w:shd w:fill="FFFAEB"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Yes</w:t>
            </w:r>
          </w:p>
        </w:tc>
        <w:tc>
          <w:tcPr>
            <w:tcW w:type="dxa" w:w="22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Yes</w:t>
            </w:r>
          </w:p>
        </w:tc>
      </w:tr>
      <w:tr>
        <w:tc>
          <w:tcPr>
            <w:tcW w:type="dxa" w:w="26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Trust/multi-entity</w:t>
            </w:r>
          </w:p>
        </w:tc>
        <w:tc>
          <w:tcPr>
            <w:tcW w:type="dxa" w:w="22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No</w:t>
            </w:r>
          </w:p>
        </w:tc>
        <w:tc>
          <w:tcPr>
            <w:tcW w:type="dxa" w:w="2240"/>
            <w:tcBorders>
              <w:top w:val="single" w:color="CCCCCC" w:sz="4"/>
              <w:left w:val="single" w:color="CCCCCC" w:sz="4"/>
              <w:bottom w:val="single" w:color="CCCCCC" w:sz="4"/>
              <w:right w:val="single" w:color="CCCCCC" w:sz="4"/>
            </w:tcBorders>
            <w:shd w:fill="FFF4D6"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No</w:t>
            </w:r>
          </w:p>
        </w:tc>
        <w:tc>
          <w:tcPr>
            <w:tcW w:type="dxa" w:w="22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Yes</w:t>
            </w:r>
          </w:p>
        </w:tc>
      </w:tr>
      <w:tr>
        <w:tc>
          <w:tcPr>
            <w:tcW w:type="dxa" w:w="26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Industry flags</w:t>
            </w:r>
          </w:p>
        </w:tc>
        <w:tc>
          <w:tcPr>
            <w:tcW w:type="dxa" w:w="22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None</w:t>
            </w:r>
          </w:p>
        </w:tc>
        <w:tc>
          <w:tcPr>
            <w:tcW w:type="dxa" w:w="2240"/>
            <w:tcBorders>
              <w:top w:val="single" w:color="CCCCCC" w:sz="4"/>
              <w:left w:val="single" w:color="CCCCCC" w:sz="4"/>
              <w:bottom w:val="single" w:color="CCCCCC" w:sz="4"/>
              <w:right w:val="single" w:color="CCCCCC" w:sz="4"/>
            </w:tcBorders>
            <w:shd w:fill="FFFAEB"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ROC, TPT, seasonal</w:t>
            </w:r>
          </w:p>
        </w:tc>
        <w:tc>
          <w:tcPr>
            <w:tcW w:type="dxa" w:w="22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IOLTA, E&amp;O, accrual</w:t>
            </w:r>
          </w:p>
        </w:tc>
      </w:tr>
    </w:tbl>
    <w:p>
      <w:pPr>
        <w:spacing w:after="12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4D6" w:color="auto" w:val="clear"/>
            <w:tcMar>
              <w:top w:type="dxa" w:w="120"/>
              <w:left w:type="dxa" w:w="180"/>
              <w:bottom w:type="dxa" w:w="120"/>
              <w:right w:type="dxa" w:w="180"/>
            </w:tcMar>
          </w:tcPr>
          <w:p>
            <w:pPr>
              <w:spacing w:after="60"/>
            </w:pPr>
            <w:r>
              <w:rPr>
                <w:rFonts w:ascii="Arial" w:cs="Arial" w:eastAsia="Arial" w:hAnsi="Arial"/>
                <w:b/>
                <w:bCs/>
                <w:color w:val="1F3A5F"/>
                <w:sz w:val="22"/>
                <w:szCs w:val="22"/>
              </w:rPr>
              <w:t xml:space="preserve">CHARTER PRICING WINDOW</w:t>
            </w:r>
          </w:p>
          <w:p>
            <w:pPr>
              <w:spacing w:after="120"/>
            </w:pPr>
            <w:r>
              <w:rPr>
                <w:rFonts w:ascii="Arial" w:cs="Arial" w:eastAsia="Arial" w:hAnsi="Arial"/>
                <w:color w:val="1A1A1A"/>
                <w:sz w:val="22"/>
                <w:szCs w:val="22"/>
              </w:rPr>
              <w:t xml:space="preserve">Charter pricing applies to the first 10 paying clients only. After client #10, the Charter column closes and new clients onboard at Standard pricing.</w:t>
            </w:r>
          </w:p>
          <w:p>
            <w:pPr>
              <w:spacing w:after="120"/>
            </w:pPr>
            <w:r>
              <w:rPr>
                <w:rFonts w:ascii="Arial" w:cs="Arial" w:eastAsia="Arial" w:hAnsi="Arial"/>
                <w:b/>
                <w:bCs/>
                <w:color w:val="1A1A1A"/>
                <w:sz w:val="22"/>
                <w:szCs w:val="22"/>
              </w:rPr>
              <w:t xml:space="preserve">Charter benefit follows the client across tiers.</w:t>
            </w:r>
            <w:r>
              <w:rPr>
                <w:rFonts w:ascii="Arial" w:cs="Arial" w:eastAsia="Arial" w:hAnsi="Arial"/>
                <w:color w:val="1A1A1A"/>
                <w:sz w:val="22"/>
                <w:szCs w:val="22"/>
              </w:rPr>
              <w:t xml:space="preserve"> As long as service is continuous, Charter clients keep Charter pricing for the duration of their relationship with Ledgerix Pro — even as their business grows from one tier to the next. A Foundation Charter client whose qualifiers move them to Growth Engine pays Growth Engine Charter ($399/mo), not Standard ($599/mo). Same applies for Scale-Up: Charter clients who grow into Scale-Up pay Scale-Up Charter ($999/mo), not Standard ($1,299/mo). The benefit also applies on tier downgrades: a Scale-Up Charter client whose qualifiers shrink to Growth Engine pays Growth Engine Charter, not Standard.</w:t>
            </w:r>
          </w:p>
          <w:p>
            <w:pPr>
              <w:spacing w:after="0"/>
            </w:pPr>
            <w:r>
              <w:rPr>
                <w:rFonts w:ascii="Arial" w:cs="Arial" w:eastAsia="Arial" w:hAnsi="Arial"/>
                <w:b/>
                <w:bCs/>
                <w:color w:val="1A1A1A"/>
                <w:sz w:val="22"/>
                <w:szCs w:val="22"/>
              </w:rPr>
              <w:t xml:space="preserve">Continuity rule.</w:t>
            </w:r>
            <w:r>
              <w:rPr>
                <w:rFonts w:ascii="Arial" w:cs="Arial" w:eastAsia="Arial" w:hAnsi="Arial"/>
                <w:color w:val="1A1A1A"/>
                <w:sz w:val="22"/>
                <w:szCs w:val="22"/>
              </w:rPr>
              <w:t xml:space="preserve"> If a Charter client cancels service and later returns, they re-enter at Standard pricing for whichever tier they qualify for. The Charter benefit is granted to the first 10 paying clients as a thank-you for choosing Ledgerix Pro early; it is not transferable, sellable, or recoverable after cancellation.</w:t>
            </w:r>
          </w:p>
        </w:tc>
      </w:tr>
    </w:tbl>
    <w:p>
      <w:pPr>
        <w:spacing w:after="120" w:before="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1F3A5F"/>
          <w:sz w:val="26"/>
          <w:szCs w:val="26"/>
        </w:rPr>
        <w:t xml:space="preserve">7.2 Scale Milestones &amp;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Milestone</w:t>
            </w:r>
          </w:p>
        </w:tc>
        <w:tc>
          <w:tcPr>
            <w:tcW w:type="dxa" w:w="656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Action Required</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5 paying clients</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Enable Client Health Monitor weekly heartbeat: cron 0 15 * * 1 (Monday 8am Arizona / 15:00 UTC)</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10 clients</w:t>
            </w:r>
          </w:p>
        </w:tc>
        <w:tc>
          <w:tcPr>
            <w:tcW w:type="dxa" w:w="6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Charter pricing window closes — new clients at Standard pricing</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Each 25-client milestone</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Revisit agent budget caps. Targets: ~$1,225 at 25, ~$3,110 at 75, ~$5,480 at 150, ~$9,700 at 300</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~50 leads</w:t>
            </w:r>
          </w:p>
        </w:tc>
        <w:tc>
          <w:tcPr>
            <w:tcW w:type="dxa" w:w="6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Enable Sales Outreach agent (H4-9)</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~50 clients</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Implement Scale Pattern for accounting webhooks (QBO webhook renewal cron, queue-based burst processing, dead letter handling)</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~50 clients</w:t>
            </w:r>
          </w:p>
        </w:tc>
        <w:tc>
          <w:tcPr>
            <w:tcW w:type="dxa" w:w="6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Migrate KB rules to database table for faster agent lookup (H4-12/13)</w:t>
            </w:r>
          </w:p>
        </w:tc>
      </w:tr>
    </w:tbl>
    <w:p>
      <w:pPr>
        <w:pStyle w:val="Heading1"/>
        <w:spacing w:after="160" w:before="360"/>
      </w:pPr>
      <w:r>
        <w:rPr>
          <w:rFonts w:ascii="Arial" w:cs="Arial" w:eastAsia="Arial" w:hAnsi="Arial"/>
          <w:b/>
          <w:bCs/>
          <w:color w:val="1F3A5F"/>
          <w:sz w:val="32"/>
          <w:szCs w:val="32"/>
        </w:rPr>
        <w:t xml:space="preserve">8. Client Portal &amp; Dashboard</w:t>
      </w:r>
    </w:p>
    <w:p>
      <w:pPr>
        <w:pStyle w:val="Heading2"/>
        <w:spacing w:after="120" w:before="240"/>
      </w:pPr>
      <w:r>
        <w:rPr>
          <w:rFonts w:ascii="Arial" w:cs="Arial" w:eastAsia="Arial" w:hAnsi="Arial"/>
          <w:b/>
          <w:bCs/>
          <w:color w:val="1F3A5F"/>
          <w:sz w:val="26"/>
          <w:szCs w:val="26"/>
        </w:rPr>
        <w:t xml:space="preserve">8.1 Client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Property</w:t>
            </w:r>
          </w:p>
        </w:tc>
        <w:tc>
          <w:tcPr>
            <w:tcW w:type="dxa" w:w="656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URL format (contact ID)</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https://api.ledgerixpro.com/portal/{ghlContactId}</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URL format (slug)</w:t>
            </w:r>
          </w:p>
        </w:tc>
        <w:tc>
          <w:tcPr>
            <w:tcW w:type="dxa" w:w="6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https://api.ledgerixpro.com/portal/{company-slug} → 302 redirect to contact ID URL</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Slug generation</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Company name slugified: spaces → hyphens, lowercase, special chars stripped. 'Enyrgy Inc' → 'enyrgy-inc'</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Authentication</w:t>
            </w:r>
          </w:p>
        </w:tc>
        <w:tc>
          <w:tcPr>
            <w:tcW w:type="dxa" w:w="6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None for beta — contactId is effectively the token. Add proper auth before paying clients request it.</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Current beta clients</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Enyrgy Inc: https://api.ledgerixpro.com/portal/enyrgy-inc</w:t>
            </w:r>
          </w:p>
        </w:tc>
      </w:tr>
    </w:tbl>
    <w:p>
      <w:pPr>
        <w:pStyle w:val="Heading2"/>
        <w:spacing w:after="120" w:before="240"/>
      </w:pPr>
      <w:r>
        <w:rPr>
          <w:rFonts w:ascii="Arial" w:cs="Arial" w:eastAsia="Arial" w:hAnsi="Arial"/>
          <w:b/>
          <w:bCs/>
          <w:color w:val="1F3A5F"/>
          <w:sz w:val="26"/>
          <w:szCs w:val="26"/>
        </w:rPr>
        <w:t xml:space="preserve">8.2 Internal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Property</w:t>
            </w:r>
          </w:p>
        </w:tc>
        <w:tc>
          <w:tcPr>
            <w:tcW w:type="dxa" w:w="656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URL</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https://api.ledgerixpro.com/dashboard</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Authentication</w:t>
            </w:r>
          </w:p>
        </w:tc>
        <w:tc>
          <w:tcPr>
            <w:tcW w:type="dxa" w:w="6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Dashboard secret (SHA-256 hash) entered on load</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Content</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 health status, HITL queue, active clients list, last run times, issue counts</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Summary API</w:t>
            </w:r>
          </w:p>
        </w:tc>
        <w:tc>
          <w:tcPr>
            <w:tcW w:type="dxa" w:w="6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https://api.ledgerixpro.com/dashboard/summary (JSON)</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Agent health statuses</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idle / running / degraded (timeout count &gt;5 in recent runs)</w:t>
            </w:r>
          </w:p>
        </w:tc>
      </w:tr>
    </w:tbl>
    <w:p>
      <w:pPr>
        <w:pStyle w:val="Heading1"/>
        <w:spacing w:after="160" w:before="360"/>
      </w:pPr>
      <w:r>
        <w:rPr>
          <w:rFonts w:ascii="Arial" w:cs="Arial" w:eastAsia="Arial" w:hAnsi="Arial"/>
          <w:b/>
          <w:bCs/>
          <w:color w:val="1F3A5F"/>
          <w:sz w:val="32"/>
          <w:szCs w:val="32"/>
        </w:rPr>
        <w:t xml:space="preserve">9. Live Integration Status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Integration Component</w:t>
            </w:r>
          </w:p>
        </w:tc>
        <w:tc>
          <w:tcPr>
            <w:tcW w:type="dxa" w:w="14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556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Railway deployment</w:t>
            </w:r>
          </w:p>
        </w:tc>
        <w:tc>
          <w:tcPr>
            <w:tcW w:type="dxa" w:w="1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LIVE</w:t>
            </w:r>
          </w:p>
        </w:tc>
        <w:tc>
          <w:tcPr>
            <w:tcW w:type="dxa" w:w="5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api.ledgerixpro.com — auto-deploys on git push to master</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GHL webhook pipeline</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LIVE</w:t>
            </w:r>
          </w:p>
        </w:tc>
        <w:tc>
          <w:tcPr>
            <w:tcW w:type="dxa" w:w="5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contact.created, contact.updated, contact.sdr_ready all routing correctly</w:t>
            </w:r>
          </w:p>
        </w:tc>
      </w:tr>
      <w:tr>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Xero OAuth (multi-tenant)</w:t>
            </w:r>
          </w:p>
        </w:tc>
        <w:tc>
          <w:tcPr>
            <w:tcW w:type="dxa" w:w="1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LIVE</w:t>
            </w:r>
          </w:p>
        </w:tc>
        <w:tc>
          <w:tcPr>
            <w:tcW w:type="dxa" w:w="5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Per-contact connections via /oauth/xero/connect?contactId=...</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QBO OAuth (multi-tenant)</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LIVE</w:t>
            </w:r>
          </w:p>
        </w:tc>
        <w:tc>
          <w:tcPr>
            <w:tcW w:type="dxa" w:w="5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Built and deployed — pending first QBO client</w:t>
            </w:r>
          </w:p>
        </w:tc>
      </w:tr>
      <w:tr>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Xero webhook</w:t>
            </w:r>
          </w:p>
        </w:tc>
        <w:tc>
          <w:tcPr>
            <w:tcW w:type="dxa" w:w="1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LIVE</w:t>
            </w:r>
          </w:p>
        </w:tc>
        <w:tc>
          <w:tcPr>
            <w:tcW w:type="dxa" w:w="5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Registered at developer.xero.com — Invoices, Contacts, Credit Notes, Billing Subscriptions. Status: OK.</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Enyrgy Inc (beta)</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LIVE</w:t>
            </w:r>
          </w:p>
        </w:tc>
        <w:tc>
          <w:tcPr>
            <w:tcW w:type="dxa" w:w="5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Xero connected (realm 07d8f5fa), client portal live at /portal/enyrgy-inc</w:t>
            </w:r>
          </w:p>
        </w:tc>
      </w:tr>
      <w:tr>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All 17 cron routines</w:t>
            </w:r>
          </w:p>
        </w:tc>
        <w:tc>
          <w:tcPr>
            <w:tcW w:type="dxa" w:w="1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LIVE</w:t>
            </w:r>
          </w:p>
        </w:tc>
        <w:tc>
          <w:tcPr>
            <w:tcW w:type="dxa" w:w="5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Firing on schedule — Sentinel, AP Specialist, Tax Liaison confirmed running daily</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Client portal (slug-based)</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LIVE</w:t>
            </w:r>
          </w:p>
        </w:tc>
        <w:tc>
          <w:tcPr>
            <w:tcW w:type="dxa" w:w="5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Slug redirect working: /portal/enyrgy-inc → 302 → /portal/mjXIoxspbjOEIzXKfkMa</w:t>
            </w:r>
          </w:p>
        </w:tc>
      </w:tr>
      <w:tr>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Scanner path hardening</w:t>
            </w:r>
          </w:p>
        </w:tc>
        <w:tc>
          <w:tcPr>
            <w:tcW w:type="dxa" w:w="1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LIVE</w:t>
            </w:r>
          </w:p>
        </w:tc>
        <w:tc>
          <w:tcPr>
            <w:tcW w:type="dxa" w:w="5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/.env, /.git/*, /.aws/*, URL-encoded variants all returning 404</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DB hourly backups</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LIVE</w:t>
            </w:r>
          </w:p>
        </w:tc>
        <w:tc>
          <w:tcPr>
            <w:tcW w:type="dxa" w:w="5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Confirmed running — ~296KB snapshots every hour, 7-day daily retention</w:t>
            </w:r>
          </w:p>
        </w:tc>
      </w:tr>
      <w:tr>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A2P SMS messaging</w:t>
            </w:r>
          </w:p>
        </w:tc>
        <w:tc>
          <w:tcPr>
            <w:tcW w:type="dxa" w:w="1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PENDING</w:t>
            </w:r>
          </w:p>
        </w:tc>
        <w:tc>
          <w:tcPr>
            <w:tcW w:type="dxa" w:w="5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GHL Trust Center approval pending — Laura's SMS outreach queued</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Google Business Profile</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PENDING</w:t>
            </w:r>
          </w:p>
        </w:tc>
        <w:tc>
          <w:tcPr>
            <w:tcW w:type="dxa" w:w="5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GOOGLE_PLACE_ID to be added to Railway after profile is claimed</w:t>
            </w:r>
          </w:p>
        </w:tc>
      </w:tr>
      <w:tr>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Anthem One Inc (beta)</w:t>
            </w:r>
          </w:p>
        </w:tc>
        <w:tc>
          <w:tcPr>
            <w:tcW w:type="dxa" w:w="1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PENDING</w:t>
            </w:r>
          </w:p>
        </w:tc>
        <w:tc>
          <w:tcPr>
            <w:tcW w:type="dxa" w:w="5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GHL contact created — Xero connection deferred (Xero auth issue)</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Client portal auth</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DEFERRED</w:t>
            </w:r>
          </w:p>
        </w:tc>
        <w:tc>
          <w:tcPr>
            <w:tcW w:type="dxa" w:w="5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Add proper token auth when first paying client requests portal access</w:t>
            </w:r>
          </w:p>
        </w:tc>
      </w:tr>
    </w:tbl>
    <w:p>
      <w:pPr>
        <w:pStyle w:val="Heading1"/>
        <w:spacing w:after="160" w:before="360"/>
      </w:pPr>
      <w:r>
        <w:rPr>
          <w:rFonts w:ascii="Arial" w:cs="Arial" w:eastAsia="Arial" w:hAnsi="Arial"/>
          <w:b/>
          <w:bCs/>
          <w:color w:val="1F3A5F"/>
          <w:sz w:val="32"/>
          <w:szCs w:val="32"/>
        </w:rPr>
        <w:t xml:space="preserve">10. Railway Deployment Reference</w:t>
      </w:r>
    </w:p>
    <w:p>
      <w:pPr>
        <w:pStyle w:val="Heading2"/>
        <w:spacing w:after="120" w:before="240"/>
      </w:pPr>
      <w:r>
        <w:rPr>
          <w:rFonts w:ascii="Arial" w:cs="Arial" w:eastAsia="Arial" w:hAnsi="Arial"/>
          <w:b/>
          <w:bCs/>
          <w:color w:val="1F3A5F"/>
          <w:sz w:val="26"/>
          <w:szCs w:val="26"/>
        </w:rPr>
        <w:t xml:space="preserve">10.1 Key Infrastructure Facts</w:t>
      </w:r>
    </w:p>
    <w:p>
      <w:pPr>
        <w:pStyle w:val="ListParagraph"/>
        <w:numPr>
          <w:ilvl w:val="0"/>
          <w:numId w:val="2"/>
        </w:numPr>
        <w:spacing w:after="80"/>
      </w:pPr>
      <w:r>
        <w:rPr>
          <w:rFonts w:ascii="Arial" w:cs="Arial" w:eastAsia="Arial" w:hAnsi="Arial"/>
          <w:color w:val="1A1A1A"/>
          <w:sz w:val="22"/>
          <w:szCs w:val="22"/>
        </w:rPr>
        <w:t xml:space="preserve">Railway auto-deploys on every push to master branch of github.com/LedgerixPro/ledgerix-pro-core</w:t>
      </w:r>
    </w:p>
    <w:p>
      <w:pPr>
        <w:pStyle w:val="ListParagraph"/>
        <w:numPr>
          <w:ilvl w:val="0"/>
          <w:numId w:val="2"/>
        </w:numPr>
        <w:spacing w:after="80"/>
      </w:pPr>
      <w:r>
        <w:rPr>
          <w:rFonts w:ascii="Arial" w:cs="Arial" w:eastAsia="Arial" w:hAnsi="Arial"/>
          <w:color w:val="1A1A1A"/>
          <w:sz w:val="22"/>
          <w:szCs w:val="22"/>
        </w:rPr>
        <w:t xml:space="preserve">Dockerfile: node:22-bookworm-slim, non-root paperclip user (UID 1001), Claude CLI 2.1.138</w:t>
      </w:r>
    </w:p>
    <w:p>
      <w:pPr>
        <w:pStyle w:val="ListParagraph"/>
        <w:numPr>
          <w:ilvl w:val="0"/>
          <w:numId w:val="2"/>
        </w:numPr>
        <w:spacing w:after="80"/>
      </w:pPr>
      <w:r>
        <w:rPr>
          <w:rFonts w:ascii="Arial" w:cs="Arial" w:eastAsia="Arial" w:hAnsi="Arial"/>
          <w:b/>
          <w:bCs/>
          <w:color w:val="1A1A1A"/>
          <w:sz w:val="22"/>
          <w:szCs w:val="22"/>
        </w:rPr>
        <w:t xml:space="preserve">CRITICAL: Railway env vars must NOT have quotes. KEY=value, never KEY="value". Quoted values caused ANTHROPIC_API_KEY auth failures.</w:t>
      </w:r>
    </w:p>
    <w:p>
      <w:pPr>
        <w:pStyle w:val="ListParagraph"/>
        <w:numPr>
          <w:ilvl w:val="0"/>
          <w:numId w:val="2"/>
        </w:numPr>
        <w:spacing w:after="80"/>
      </w:pPr>
      <w:r>
        <w:rPr>
          <w:rFonts w:ascii="Arial" w:cs="Arial" w:eastAsia="Arial" w:hAnsi="Arial"/>
          <w:color w:val="1A1A1A"/>
          <w:sz w:val="22"/>
          <w:szCs w:val="22"/>
        </w:rPr>
        <w:t xml:space="preserve">Migrations apply automatically on container boot via Paperclip's migration runner</w:t>
      </w:r>
    </w:p>
    <w:p>
      <w:pPr>
        <w:pStyle w:val="ListParagraph"/>
        <w:numPr>
          <w:ilvl w:val="0"/>
          <w:numId w:val="2"/>
        </w:numPr>
        <w:spacing w:after="80"/>
      </w:pPr>
      <w:r>
        <w:rPr>
          <w:rFonts w:ascii="Arial" w:cs="Arial" w:eastAsia="Arial" w:hAnsi="Arial"/>
          <w:color w:val="1A1A1A"/>
          <w:sz w:val="22"/>
          <w:szCs w:val="22"/>
        </w:rPr>
        <w:t xml:space="preserve">If Railway does not auto-redeploy after push: use an empty commit to trigger (git commit --allow-empty)</w:t>
      </w:r>
    </w:p>
    <w:p>
      <w:pPr>
        <w:pStyle w:val="Heading2"/>
        <w:spacing w:after="120" w:before="240"/>
      </w:pPr>
      <w:r>
        <w:rPr>
          <w:rFonts w:ascii="Arial" w:cs="Arial" w:eastAsia="Arial" w:hAnsi="Arial"/>
          <w:b/>
          <w:bCs/>
          <w:color w:val="1F3A5F"/>
          <w:sz w:val="26"/>
          <w:szCs w:val="26"/>
        </w:rPr>
        <w:t xml:space="preserve">10.2 GHL Custom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 Name</w:t>
            </w:r>
          </w:p>
        </w:tc>
        <w:tc>
          <w:tcPr>
            <w:tcW w:type="dxa" w:w="28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Internal ID</w:t>
            </w:r>
          </w:p>
        </w:tc>
        <w:tc>
          <w:tcPr>
            <w:tcW w:type="dxa" w:w="416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service_tier</w:t>
            </w:r>
          </w:p>
        </w:tc>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Dh5rwdlahz6a37BAQDIs</w:t>
            </w:r>
          </w:p>
        </w:tc>
        <w:tc>
          <w:tcPr>
            <w:tcW w:type="dxa" w:w="41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Client service tier (The Foundation / The Growth Engine / The Scale-Up)</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client_type</w:t>
            </w:r>
          </w:p>
        </w:tc>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Cf539co3LHJrm6wLAJQJ</w:t>
            </w:r>
          </w:p>
        </w:tc>
        <w:tc>
          <w:tcPr>
            <w:tcW w:type="dxa" w:w="4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Business type (manufacturing, trades, agency, law_firm, retail, etc.)</w:t>
            </w:r>
          </w:p>
        </w:tc>
      </w:tr>
      <w:tr>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ledgerix_workspace_id</w:t>
            </w:r>
          </w:p>
        </w:tc>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vmAT4OjG10QboXA2Jqjs</w:t>
            </w:r>
          </w:p>
        </w:tc>
        <w:tc>
          <w:tcPr>
            <w:tcW w:type="dxa" w:w="41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Paperclip company ID (vestigial post-H4-14 — retained for backward compat)</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nurture_month</w:t>
            </w:r>
          </w:p>
        </w:tc>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sMQegZrU2giDsyaNKnjt</w:t>
            </w:r>
          </w:p>
        </w:tc>
        <w:tc>
          <w:tcPr>
            <w:tcW w:type="dxa" w:w="4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Nurture sequence month tracking</w:t>
            </w:r>
          </w:p>
        </w:tc>
      </w:tr>
    </w:tbl>
    <w:p>
      <w:pPr>
        <w:pStyle w:val="Heading2"/>
        <w:spacing w:after="120" w:before="240"/>
      </w:pPr>
      <w:r>
        <w:rPr>
          <w:rFonts w:ascii="Arial" w:cs="Arial" w:eastAsia="Arial" w:hAnsi="Arial"/>
          <w:b/>
          <w:bCs/>
          <w:color w:val="1F3A5F"/>
          <w:sz w:val="26"/>
          <w:szCs w:val="26"/>
        </w:rPr>
        <w:t xml:space="preserve">10.3 GHL Pipeline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Pipeline</w:t>
            </w:r>
          </w:p>
        </w:tc>
        <w:tc>
          <w:tcPr>
            <w:tcW w:type="dxa" w:w="636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r>
      <w:tr>
        <w:tc>
          <w:tcPr>
            <w:tcW w:type="dxa" w:w="3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Sales Pipeline</w:t>
            </w:r>
          </w:p>
        </w:tc>
        <w:tc>
          <w:tcPr>
            <w:tcW w:type="dxa" w:w="63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dtgrQV0u9DB5EmxJGY9K</w:t>
            </w:r>
          </w:p>
        </w:tc>
      </w:tr>
      <w:tr>
        <w:tc>
          <w:tcPr>
            <w:tcW w:type="dxa" w:w="3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Clients Pipeline</w:t>
            </w:r>
          </w:p>
        </w:tc>
        <w:tc>
          <w:tcPr>
            <w:tcW w:type="dxa" w:w="63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EOq8U8BCqRMX9kM5g2qS</w:t>
            </w:r>
          </w:p>
        </w:tc>
      </w:tr>
      <w:tr>
        <w:tc>
          <w:tcPr>
            <w:tcW w:type="dxa" w:w="3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Churn Pipeline</w:t>
            </w:r>
          </w:p>
        </w:tc>
        <w:tc>
          <w:tcPr>
            <w:tcW w:type="dxa" w:w="63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A4SSmXmDnwPKGfxKcvut</w:t>
            </w:r>
          </w:p>
        </w:tc>
      </w:tr>
    </w:tbl>
    <w:p>
      <w:pPr>
        <w:pStyle w:val="Heading2"/>
        <w:spacing w:after="120" w:before="240"/>
      </w:pPr>
      <w:r>
        <w:rPr>
          <w:rFonts w:ascii="Arial" w:cs="Arial" w:eastAsia="Arial" w:hAnsi="Arial"/>
          <w:b/>
          <w:bCs/>
          <w:color w:val="1F3A5F"/>
          <w:sz w:val="26"/>
          <w:szCs w:val="26"/>
        </w:rPr>
        <w:t xml:space="preserve">10.4 Beta Client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Property</w:t>
            </w:r>
          </w:p>
        </w:tc>
        <w:tc>
          <w:tcPr>
            <w:tcW w:type="dxa" w:w="358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Enyrgy Inc</w:t>
            </w:r>
          </w:p>
        </w:tc>
        <w:tc>
          <w:tcPr>
            <w:tcW w:type="dxa" w:w="358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Anthem One Inc</w:t>
            </w:r>
          </w:p>
        </w:tc>
      </w:tr>
      <w:tr>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GHL Contact ID</w:t>
            </w:r>
          </w:p>
        </w:tc>
        <w:tc>
          <w:tcPr>
            <w:tcW w:type="dxa" w:w="35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mjXIoxspbjOEIzXKfkMa</w:t>
            </w:r>
          </w:p>
        </w:tc>
        <w:tc>
          <w:tcPr>
            <w:tcW w:type="dxa" w:w="35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cEzH3PVwHfqeGdy0QkNG</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Email</w:t>
            </w:r>
          </w:p>
        </w:tc>
        <w:tc>
          <w:tcPr>
            <w:tcW w:type="dxa" w:w="35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scott@enyrgy.com</w:t>
            </w:r>
          </w:p>
        </w:tc>
        <w:tc>
          <w:tcPr>
            <w:tcW w:type="dxa" w:w="35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scott@anthemone.com</w:t>
            </w:r>
          </w:p>
        </w:tc>
      </w:tr>
      <w:tr>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Xero Connected</w:t>
            </w:r>
          </w:p>
        </w:tc>
        <w:tc>
          <w:tcPr>
            <w:tcW w:type="dxa" w:w="35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Yes (realm 07d8f5fa-be97-4787-aa47-a853ab6e2675)</w:t>
            </w:r>
          </w:p>
        </w:tc>
        <w:tc>
          <w:tcPr>
            <w:tcW w:type="dxa" w:w="35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No (deferred)</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Client Portal</w:t>
            </w:r>
          </w:p>
        </w:tc>
        <w:tc>
          <w:tcPr>
            <w:tcW w:type="dxa" w:w="35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https://api.ledgerixpro.com/portal/enyrgy-inc</w:t>
            </w:r>
          </w:p>
        </w:tc>
        <w:tc>
          <w:tcPr>
            <w:tcW w:type="dxa" w:w="35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https://api.ledgerixpro.com/portal/anthem-one-inc (pending)</w:t>
            </w:r>
          </w:p>
        </w:tc>
      </w:tr>
      <w:tr>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Client Type</w:t>
            </w:r>
          </w:p>
        </w:tc>
        <w:tc>
          <w:tcPr>
            <w:tcW w:type="dxa" w:w="35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manufacturing</w:t>
            </w:r>
          </w:p>
        </w:tc>
        <w:tc>
          <w:tcPr>
            <w:tcW w:type="dxa" w:w="35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manufacturing</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Tags</w:t>
            </w:r>
          </w:p>
        </w:tc>
        <w:tc>
          <w:tcPr>
            <w:tcW w:type="dxa" w:w="35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client-active, beta-client, icp-qualified, sdr-ready</w:t>
            </w:r>
          </w:p>
        </w:tc>
        <w:tc>
          <w:tcPr>
            <w:tcW w:type="dxa" w:w="35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client-active, beta-client</w:t>
            </w:r>
          </w:p>
        </w:tc>
      </w:tr>
    </w:tbl>
    <w:p>
      <w:pPr>
        <w:pStyle w:val="Heading2"/>
        <w:spacing w:after="120" w:before="240"/>
      </w:pPr>
      <w:r>
        <w:rPr>
          <w:rFonts w:ascii="Arial" w:cs="Arial" w:eastAsia="Arial" w:hAnsi="Arial"/>
          <w:b/>
          <w:bCs/>
          <w:color w:val="1F3A5F"/>
          <w:sz w:val="26"/>
          <w:szCs w:val="26"/>
        </w:rPr>
        <w:t xml:space="preserve">10.5 Key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 / Directory</w:t>
            </w:r>
          </w:p>
        </w:tc>
        <w:tc>
          <w:tcPr>
            <w:tcW w:type="dxa" w:w="556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3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agents/{name}/AGENTS.md</w:t>
            </w:r>
          </w:p>
        </w:tc>
        <w:tc>
          <w:tcPr>
            <w:tcW w:type="dxa" w:w="5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Agent instructions — 18 active agents, each with full SOP</w:t>
            </w:r>
          </w:p>
        </w:tc>
      </w:tr>
      <w:tr>
        <w:tc>
          <w:tcPr>
            <w:tcW w:type="dxa" w:w="3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server/src/routes/oauth/xero.ts</w:t>
            </w:r>
          </w:p>
        </w:tc>
        <w:tc>
          <w:tcPr>
            <w:tcW w:type="dxa" w:w="5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Xero OAuth routes — per-contact connect and callback</w:t>
            </w:r>
          </w:p>
        </w:tc>
      </w:tr>
      <w:tr>
        <w:tc>
          <w:tcPr>
            <w:tcW w:type="dxa" w:w="3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server/src/routes/oauth/quickbooks.ts</w:t>
            </w:r>
          </w:p>
        </w:tc>
        <w:tc>
          <w:tcPr>
            <w:tcW w:type="dxa" w:w="5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QBO OAuth routes — per-contact connect and callback</w:t>
            </w:r>
          </w:p>
        </w:tc>
      </w:tr>
      <w:tr>
        <w:tc>
          <w:tcPr>
            <w:tcW w:type="dxa" w:w="3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server/src/routes/webhooks/ghl.ts</w:t>
            </w:r>
          </w:p>
        </w:tc>
        <w:tc>
          <w:tcPr>
            <w:tcW w:type="dxa" w:w="5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GHL webhook receiver with dual-path auth</w:t>
            </w:r>
          </w:p>
        </w:tc>
      </w:tr>
      <w:tr>
        <w:tc>
          <w:tcPr>
            <w:tcW w:type="dxa" w:w="3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server/src/routes/ledgerix-dashboard.ts</w:t>
            </w:r>
          </w:p>
        </w:tc>
        <w:tc>
          <w:tcPr>
            <w:tcW w:type="dxa" w:w="5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Dashboard, portal, and slug redirect routes</w:t>
            </w:r>
          </w:p>
        </w:tc>
      </w:tr>
      <w:tr>
        <w:tc>
          <w:tcPr>
            <w:tcW w:type="dxa" w:w="3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server/src/services/accounting/index.ts</w:t>
            </w:r>
          </w:p>
        </w:tc>
        <w:tc>
          <w:tcPr>
            <w:tcW w:type="dxa" w:w="5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getNewTransactions — primary accounting data access function</w:t>
            </w:r>
          </w:p>
        </w:tc>
      </w:tr>
      <w:tr>
        <w:tc>
          <w:tcPr>
            <w:tcW w:type="dxa" w:w="3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packages/db/src/schema/accounting_connections.ts</w:t>
            </w:r>
          </w:p>
        </w:tc>
        <w:tc>
          <w:tcPr>
            <w:tcW w:type="dxa" w:w="5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Multi-tenant accounting connections schema</w:t>
            </w:r>
          </w:p>
        </w:tc>
      </w:tr>
      <w:tr>
        <w:tc>
          <w:tcPr>
            <w:tcW w:type="dxa" w:w="3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RESET.md</w:t>
            </w:r>
          </w:p>
        </w:tc>
        <w:tc>
          <w:tcPr>
            <w:tcW w:type="dxa" w:w="5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Complete recovery runbook — 31 sections including backup recovery (Section 31)</w:t>
            </w:r>
          </w:p>
        </w:tc>
      </w:tr>
      <w:tr>
        <w:tc>
          <w:tcPr>
            <w:tcW w:type="dxa" w:w="3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.env.example</w:t>
            </w:r>
          </w:p>
        </w:tc>
        <w:tc>
          <w:tcPr>
            <w:tcW w:type="dxa" w:w="5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val="false"/>
                <w:bCs w:val="false"/>
                <w:color w:val="1A1A1A"/>
                <w:sz w:val="20"/>
                <w:szCs w:val="20"/>
              </w:rPr>
              <w:t xml:space="preserve">Safe placeholder template for all Railway environment variables</w:t>
            </w:r>
          </w:p>
        </w:tc>
      </w:tr>
    </w:tbl>
    <w:p>
      <w:pPr>
        <w:spacing w:after="60" w:before="360"/>
        <w:jc w:val="center"/>
      </w:pPr>
      <w:r>
        <w:rPr>
          <w:rFonts w:ascii="Arial" w:cs="Arial" w:eastAsia="Arial" w:hAnsi="Arial"/>
          <w:b/>
          <w:bCs/>
          <w:color w:val="1F3A5F"/>
          <w:sz w:val="22"/>
          <w:szCs w:val="22"/>
        </w:rPr>
        <w:t xml:space="preserve">LEDGERIX PRO — CONFIDENTIAL</w:t>
      </w:r>
    </w:p>
    <w:p>
      <w:pPr>
        <w:spacing w:after="0"/>
        <w:jc w:val="center"/>
      </w:pPr>
      <w:r>
        <w:rPr>
          <w:rFonts w:ascii="Arial" w:cs="Arial" w:eastAsia="Arial" w:hAnsi="Arial"/>
          <w:color w:val="595959"/>
          <w:sz w:val="20"/>
          <w:szCs w:val="20"/>
        </w:rPr>
        <w:t xml:space="preserve">Scott Hansbury  |  Founder &amp; Business Strategist  |  Scottsdale, Arizona  |  Version 3.2  |  May 17,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Ledgerix Pro  |  Enterprise Architecture v3.2  |  May 17, 2026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b/>
        <w:bCs/>
        <w:color w:val="1F3A5F"/>
        <w:sz w:val="18"/>
        <w:szCs w:val="18"/>
      </w:rPr>
      <w:t xml:space="preserve">LEDGERIX PRO  |  Enterprise Architecture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Ledgerix Pro Enterprise Architecture v3.1</dc:title>
  <dc:creator>Ledgerix Pro</dc:creator>
  <cp:lastModifiedBy>Un-named</cp:lastModifiedBy>
  <cp:revision>1</cp:revision>
  <dcterms:created xsi:type="dcterms:W3CDTF">2026-05-17T13:15:02.206Z</dcterms:created>
  <dcterms:modified xsi:type="dcterms:W3CDTF">2026-05-17T13:15:02.207Z</dcterms:modified>
</cp:coreProperties>
</file>

<file path=docProps/custom.xml><?xml version="1.0" encoding="utf-8"?>
<Properties xmlns="http://schemas.openxmlformats.org/officeDocument/2006/custom-properties" xmlns:vt="http://schemas.openxmlformats.org/officeDocument/2006/docPropsVTypes"/>
</file>