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4DE1" w14:textId="4E783B87" w:rsidR="00723195" w:rsidRPr="00590766" w:rsidRDefault="0023097F" w:rsidP="00881BD0">
      <w:pPr>
        <w:spacing w:line="360" w:lineRule="auto"/>
        <w:jc w:val="center"/>
        <w:rPr>
          <w:rFonts w:ascii="Times New Roman" w:eastAsiaTheme="majorEastAsia" w:hAnsi="Times New Roman" w:cs="Times New Roman"/>
          <w:spacing w:val="-10"/>
          <w:kern w:val="28"/>
          <w:sz w:val="56"/>
          <w:szCs w:val="56"/>
          <w:lang w:val="en-US"/>
        </w:rPr>
      </w:pPr>
      <w:r w:rsidRPr="00590766">
        <w:rPr>
          <w:rFonts w:ascii="Times New Roman" w:eastAsiaTheme="majorEastAsia" w:hAnsi="Times New Roman" w:cs="Times New Roman"/>
          <w:spacing w:val="-10"/>
          <w:kern w:val="28"/>
          <w:sz w:val="56"/>
          <w:szCs w:val="56"/>
          <w:lang w:val="en-US"/>
        </w:rPr>
        <w:t>Interactive Visualization and Analysis of 2024 Police Enforcement and Traffic Fine Data for Road Safety Decision-Making</w:t>
      </w:r>
    </w:p>
    <w:p w14:paraId="4653AD6D" w14:textId="7CAD6D3C" w:rsidR="0023097F" w:rsidRPr="00590766" w:rsidRDefault="009F79B9" w:rsidP="00881BD0">
      <w:pPr>
        <w:spacing w:line="360" w:lineRule="auto"/>
        <w:jc w:val="center"/>
        <w:rPr>
          <w:rFonts w:ascii="Times New Roman" w:hAnsi="Times New Roman" w:cs="Times New Roman"/>
        </w:rPr>
      </w:pPr>
      <w:r w:rsidRPr="00590766">
        <w:rPr>
          <w:rFonts w:ascii="Times New Roman" w:hAnsi="Times New Roman" w:cs="Times New Roman"/>
        </w:rPr>
        <w:t>Group 14</w:t>
      </w:r>
    </w:p>
    <w:p w14:paraId="7339F129" w14:textId="75268F27" w:rsidR="009F79B9" w:rsidRPr="00590766" w:rsidRDefault="009F79B9" w:rsidP="00881BD0">
      <w:pPr>
        <w:spacing w:line="360" w:lineRule="auto"/>
        <w:jc w:val="center"/>
        <w:rPr>
          <w:rFonts w:ascii="Times New Roman" w:hAnsi="Times New Roman" w:cs="Times New Roman"/>
        </w:rPr>
      </w:pPr>
      <w:r w:rsidRPr="00590766">
        <w:rPr>
          <w:rFonts w:ascii="Times New Roman" w:hAnsi="Times New Roman" w:cs="Times New Roman"/>
        </w:rPr>
        <w:t>By:</w:t>
      </w:r>
    </w:p>
    <w:p w14:paraId="61D40222" w14:textId="4EA4EDB2" w:rsidR="009F79B9" w:rsidRPr="00590766" w:rsidRDefault="009F79B9" w:rsidP="00881BD0">
      <w:pPr>
        <w:spacing w:line="360" w:lineRule="auto"/>
        <w:jc w:val="center"/>
        <w:rPr>
          <w:rFonts w:ascii="Times New Roman" w:hAnsi="Times New Roman" w:cs="Times New Roman"/>
        </w:rPr>
      </w:pPr>
      <w:r w:rsidRPr="00590766">
        <w:rPr>
          <w:rFonts w:ascii="Times New Roman" w:hAnsi="Times New Roman" w:cs="Times New Roman"/>
        </w:rPr>
        <w:t>Lee Chee Cung (106411268)</w:t>
      </w:r>
    </w:p>
    <w:p w14:paraId="1AEDBF65" w14:textId="7B1327CD" w:rsidR="009F79B9" w:rsidRPr="00590766" w:rsidRDefault="009F79B9" w:rsidP="00881BD0">
      <w:pPr>
        <w:spacing w:line="360" w:lineRule="auto"/>
        <w:jc w:val="center"/>
        <w:rPr>
          <w:rFonts w:ascii="Times New Roman" w:hAnsi="Times New Roman" w:cs="Times New Roman"/>
        </w:rPr>
      </w:pPr>
      <w:r w:rsidRPr="00590766">
        <w:rPr>
          <w:rFonts w:ascii="Times New Roman" w:hAnsi="Times New Roman" w:cs="Times New Roman"/>
        </w:rPr>
        <w:t>Kennard Chan Kai Lik (</w:t>
      </w:r>
      <w:r w:rsidR="0063225A" w:rsidRPr="00590766">
        <w:rPr>
          <w:rFonts w:ascii="Times New Roman" w:hAnsi="Times New Roman" w:cs="Times New Roman"/>
        </w:rPr>
        <w:t>106632645)</w:t>
      </w:r>
    </w:p>
    <w:p w14:paraId="0587C3A2" w14:textId="536A1568" w:rsidR="00786123" w:rsidRPr="00590766" w:rsidRDefault="00786123" w:rsidP="00881BD0">
      <w:pPr>
        <w:spacing w:line="360" w:lineRule="auto"/>
        <w:rPr>
          <w:rFonts w:ascii="Times New Roman" w:hAnsi="Times New Roman" w:cs="Times New Roman"/>
        </w:rPr>
      </w:pPr>
      <w:r w:rsidRPr="00590766">
        <w:rPr>
          <w:rFonts w:ascii="Times New Roman" w:hAnsi="Times New Roman" w:cs="Times New Roman"/>
        </w:rPr>
        <w:br w:type="page"/>
      </w:r>
    </w:p>
    <w:p w14:paraId="0F091B94" w14:textId="7C815D6D" w:rsidR="00786123" w:rsidRPr="00590766" w:rsidRDefault="00786123" w:rsidP="00881BD0">
      <w:pPr>
        <w:pStyle w:val="Heading1"/>
        <w:numPr>
          <w:ilvl w:val="0"/>
          <w:numId w:val="1"/>
        </w:numPr>
        <w:spacing w:line="360" w:lineRule="auto"/>
        <w:rPr>
          <w:rFonts w:ascii="Times New Roman" w:hAnsi="Times New Roman" w:cs="Times New Roman"/>
          <w:color w:val="auto"/>
        </w:rPr>
      </w:pPr>
      <w:r w:rsidRPr="00590766">
        <w:rPr>
          <w:rFonts w:ascii="Times New Roman" w:hAnsi="Times New Roman" w:cs="Times New Roman"/>
          <w:color w:val="auto"/>
        </w:rPr>
        <w:lastRenderedPageBreak/>
        <w:t>Introduction</w:t>
      </w:r>
    </w:p>
    <w:p w14:paraId="26A3FF2E" w14:textId="5EB26A44" w:rsidR="00786123" w:rsidRPr="00590766" w:rsidRDefault="00644CEB" w:rsidP="00881BD0">
      <w:pPr>
        <w:pStyle w:val="Heading2"/>
        <w:spacing w:line="360" w:lineRule="auto"/>
        <w:rPr>
          <w:rFonts w:ascii="Times New Roman" w:hAnsi="Times New Roman" w:cs="Times New Roman"/>
          <w:color w:val="auto"/>
        </w:rPr>
      </w:pPr>
      <w:r w:rsidRPr="00590766">
        <w:rPr>
          <w:rFonts w:ascii="Times New Roman" w:hAnsi="Times New Roman" w:cs="Times New Roman"/>
          <w:color w:val="auto"/>
        </w:rPr>
        <w:t>1.1 Background and Motivation</w:t>
      </w:r>
    </w:p>
    <w:p w14:paraId="58C2111B" w14:textId="283DE1C9" w:rsidR="00521CB9" w:rsidRPr="00590766" w:rsidRDefault="00521CB9" w:rsidP="00881BD0">
      <w:pPr>
        <w:spacing w:line="360" w:lineRule="auto"/>
        <w:rPr>
          <w:rFonts w:ascii="Times New Roman" w:hAnsi="Times New Roman" w:cs="Times New Roman"/>
        </w:rPr>
      </w:pPr>
      <w:r w:rsidRPr="00590766">
        <w:rPr>
          <w:rFonts w:ascii="Times New Roman" w:hAnsi="Times New Roman" w:cs="Times New Roman"/>
        </w:rPr>
        <w:t>Road safety law enforcement and road-safe enforcement are vital for the public's overall well-being and transportation systems. Governments, police agencies, and other law enforcement organisations collect data about highway offences through several methods, such as mobile phone violators, speeding violations, seatbelt violations, and arrests, as well as driving-related charges against an individual. The data will include data from various jurisdictions for those that were cited for drinking and driving violations during 2024 and will include age groups as well as data on location, as well as via multiple detection methods.</w:t>
      </w:r>
    </w:p>
    <w:p w14:paraId="28FC76F0" w14:textId="7D30A0D5" w:rsidR="00003331" w:rsidRPr="00590766" w:rsidRDefault="00003331" w:rsidP="00881BD0">
      <w:pPr>
        <w:spacing w:line="360" w:lineRule="auto"/>
        <w:rPr>
          <w:rFonts w:ascii="Times New Roman" w:hAnsi="Times New Roman" w:cs="Times New Roman"/>
        </w:rPr>
      </w:pPr>
      <w:r w:rsidRPr="00590766">
        <w:rPr>
          <w:rFonts w:ascii="Times New Roman" w:hAnsi="Times New Roman" w:cs="Times New Roman"/>
        </w:rPr>
        <w:t xml:space="preserve">The target audience of this visualisation are members of the general public, analysts of transport, policymakers and/or politicians, researchers, and law enforcement agencies. The general public can utilise the visualisation to gain a better understanding of the most common driving behaviours and offences of drivers given their region and age group. Transport analysts can observe trends and/or patterns in the enforcement data and researchers can look for trends and patterns. Policymakers and law enforcement agencies can then use the information gained from the data to enhance their chosen strategy for road safety, law enforcement policies, etc. </w:t>
      </w:r>
    </w:p>
    <w:p w14:paraId="52BC9887" w14:textId="53D02F95" w:rsidR="00003331" w:rsidRPr="00590766" w:rsidRDefault="00003331" w:rsidP="00881BD0">
      <w:pPr>
        <w:spacing w:line="360" w:lineRule="auto"/>
        <w:rPr>
          <w:rFonts w:ascii="Times New Roman" w:hAnsi="Times New Roman" w:cs="Times New Roman"/>
        </w:rPr>
      </w:pPr>
      <w:r w:rsidRPr="00590766">
        <w:rPr>
          <w:rFonts w:ascii="Times New Roman" w:hAnsi="Times New Roman" w:cs="Times New Roman"/>
        </w:rPr>
        <w:t xml:space="preserve">The visualisation is key in communicating the enforcement data in a visual manner. Enforcement data presented in a spreadsheet or table can make it incredibly easy to get lost in a vast number of records (data). The current dataset has over 12,000 records of historical information; therefore, many users will likely have difficulty determining the relationship/patterns among the records and/or high-risk categories of the enforced behaviours. This visualisation provides the solution to this dilemma by providing a visual representation through the use of charts, graphs, and dashboards of data that are easy for the user to quickly identify any trends or compare the enforcement activities within each of the categories evaluated. </w:t>
      </w:r>
    </w:p>
    <w:p w14:paraId="4A29E304" w14:textId="283465C3" w:rsidR="00644CEB" w:rsidRPr="00590766" w:rsidRDefault="00003331" w:rsidP="00881BD0">
      <w:pPr>
        <w:spacing w:line="360" w:lineRule="auto"/>
        <w:rPr>
          <w:rFonts w:ascii="Times New Roman" w:hAnsi="Times New Roman" w:cs="Times New Roman"/>
        </w:rPr>
      </w:pPr>
      <w:r w:rsidRPr="00590766">
        <w:rPr>
          <w:rFonts w:ascii="Times New Roman" w:hAnsi="Times New Roman" w:cs="Times New Roman"/>
        </w:rPr>
        <w:t xml:space="preserve">The visualisation will also emphasise key issues related to road safety. For example; through the visualisation the user will be able to determine the traffic offence(s) that generate the highest fines, through the visualisation the user can identify the age group(s) that have been involved in the traffic offence(s) and through the visualisation the user will be able to determine the jurisdictions that have higher enforcement activities. The organisations who </w:t>
      </w:r>
      <w:r w:rsidRPr="00590766">
        <w:rPr>
          <w:rFonts w:ascii="Times New Roman" w:hAnsi="Times New Roman" w:cs="Times New Roman"/>
        </w:rPr>
        <w:lastRenderedPageBreak/>
        <w:t>use this type of information will use it in two main methods; awareness campaigns for the purpose of informing and/or educating careless drivers; targeted enforcement to catch careless drivers; and policy improvements.</w:t>
      </w:r>
    </w:p>
    <w:p w14:paraId="733F08A3" w14:textId="7DB5B03E" w:rsidR="00644CEB" w:rsidRPr="00590766" w:rsidRDefault="00644CEB" w:rsidP="00881BD0">
      <w:pPr>
        <w:pStyle w:val="Heading2"/>
        <w:spacing w:line="360" w:lineRule="auto"/>
        <w:rPr>
          <w:rFonts w:ascii="Times New Roman" w:hAnsi="Times New Roman" w:cs="Times New Roman"/>
          <w:color w:val="auto"/>
        </w:rPr>
      </w:pPr>
      <w:r w:rsidRPr="00590766">
        <w:rPr>
          <w:rFonts w:ascii="Times New Roman" w:hAnsi="Times New Roman" w:cs="Times New Roman"/>
          <w:color w:val="auto"/>
        </w:rPr>
        <w:t>1.2</w:t>
      </w:r>
      <w:r w:rsidR="00F43C33" w:rsidRPr="00590766">
        <w:rPr>
          <w:rFonts w:ascii="Times New Roman" w:hAnsi="Times New Roman" w:cs="Times New Roman"/>
          <w:color w:val="auto"/>
        </w:rPr>
        <w:t xml:space="preserve"> Visualization Purpose</w:t>
      </w:r>
    </w:p>
    <w:p w14:paraId="436B8179" w14:textId="69DD96C1" w:rsidR="00F43C33" w:rsidRPr="00590766" w:rsidRDefault="00A55BF6" w:rsidP="00881BD0">
      <w:pPr>
        <w:spacing w:line="360" w:lineRule="auto"/>
        <w:rPr>
          <w:rFonts w:ascii="Times New Roman" w:hAnsi="Times New Roman" w:cs="Times New Roman"/>
        </w:rPr>
      </w:pPr>
      <w:r w:rsidRPr="00590766">
        <w:rPr>
          <w:rFonts w:ascii="Times New Roman" w:hAnsi="Times New Roman" w:cs="Times New Roman"/>
        </w:rPr>
        <w:t xml:space="preserve">This data visualization is designed to increase the understanding of trends, relationships, and patterns that exist within a large volume of data related to police enforcement and traffic fines. The visual representation of data in the form of charts, graphs, and dashboards allows users to explore police enforcement actions in a more effective manner than what would be accomplished by simply </w:t>
      </w:r>
      <w:proofErr w:type="spellStart"/>
      <w:r w:rsidRPr="00590766">
        <w:rPr>
          <w:rFonts w:ascii="Times New Roman" w:hAnsi="Times New Roman" w:cs="Times New Roman"/>
        </w:rPr>
        <w:t>analyzing</w:t>
      </w:r>
      <w:proofErr w:type="spellEnd"/>
      <w:r w:rsidRPr="00590766">
        <w:rPr>
          <w:rFonts w:ascii="Times New Roman" w:hAnsi="Times New Roman" w:cs="Times New Roman"/>
        </w:rPr>
        <w:t xml:space="preserve"> large volumes of raw tables and data contained in spreadsheets. The visualizations help users answer questions such as: "What type of traffic offense generates the most fines?", "Where were the jurisdictions with the highest level of enforcement activity?", "What are the primary age ranges for each type of offense?", and "Do the methods of detecting/issuing each type of traffic offense differ by location and/or category of offense?" The overall nature of this data visualization will allow users to identify relationships between fines, arrests, and charges as well as witnesses and overall police enforcement trends over the course of the year 2024.</w:t>
      </w:r>
    </w:p>
    <w:p w14:paraId="277F9B98" w14:textId="00CF90D0" w:rsidR="00A55BF6" w:rsidRPr="00590766" w:rsidRDefault="00A55BF6" w:rsidP="00881BD0">
      <w:pPr>
        <w:spacing w:line="360" w:lineRule="auto"/>
        <w:rPr>
          <w:rFonts w:ascii="Times New Roman" w:hAnsi="Times New Roman" w:cs="Times New Roman"/>
        </w:rPr>
      </w:pPr>
      <w:r w:rsidRPr="00590766">
        <w:rPr>
          <w:rFonts w:ascii="Times New Roman" w:hAnsi="Times New Roman" w:cs="Times New Roman"/>
        </w:rPr>
        <w:t>The completed visualisation offers many advantages for the public and organisations that use it to make decisions. Policymakers and law enforcement agencies are able to use the visualisation's insights in order to identify high-risk areas; enhance traffic enforcement strategies; and create targeted road safety initiatives. Researchers and analysts can study enforcement data to analyse behavioural trends and correlations to produce additional investigations or research recommendations. The visualisation can also help raise the public's awareness of road safety through the presentation of information regarding road safety using easy-to-read charts. Ultimately, the dashboard facilitates quicker, more informed, and data-based decision making while aiding organisations and the public to understand the overall traffic enforcement patterns and road safety concerns.</w:t>
      </w:r>
    </w:p>
    <w:p w14:paraId="5C21D35A" w14:textId="18B6149D" w:rsidR="00590766" w:rsidRPr="00590766" w:rsidRDefault="00590766" w:rsidP="00881BD0">
      <w:pPr>
        <w:spacing w:line="360" w:lineRule="auto"/>
        <w:rPr>
          <w:rFonts w:ascii="Times New Roman" w:hAnsi="Times New Roman" w:cs="Times New Roman"/>
        </w:rPr>
      </w:pPr>
      <w:r w:rsidRPr="00590766">
        <w:rPr>
          <w:rFonts w:ascii="Times New Roman" w:hAnsi="Times New Roman" w:cs="Times New Roman"/>
        </w:rPr>
        <w:br w:type="page"/>
      </w:r>
    </w:p>
    <w:p w14:paraId="1C419A9D" w14:textId="79365616" w:rsidR="00590766" w:rsidRPr="00590766" w:rsidRDefault="00590766" w:rsidP="00881BD0">
      <w:pPr>
        <w:pStyle w:val="Heading1"/>
        <w:spacing w:line="360" w:lineRule="auto"/>
        <w:rPr>
          <w:rFonts w:ascii="Times New Roman" w:hAnsi="Times New Roman" w:cs="Times New Roman"/>
          <w:color w:val="auto"/>
        </w:rPr>
      </w:pPr>
      <w:r w:rsidRPr="00590766">
        <w:rPr>
          <w:rFonts w:ascii="Times New Roman" w:hAnsi="Times New Roman" w:cs="Times New Roman"/>
          <w:color w:val="auto"/>
        </w:rPr>
        <w:lastRenderedPageBreak/>
        <w:t>2.0 Data</w:t>
      </w:r>
    </w:p>
    <w:p w14:paraId="4FB7232B" w14:textId="3FCCFF8A" w:rsidR="00590766" w:rsidRPr="00590766" w:rsidRDefault="00590766" w:rsidP="00881BD0">
      <w:pPr>
        <w:spacing w:line="360" w:lineRule="auto"/>
        <w:rPr>
          <w:rFonts w:ascii="Times New Roman" w:hAnsi="Times New Roman" w:cs="Times New Roman"/>
        </w:rPr>
      </w:pPr>
      <w:r w:rsidRPr="00590766">
        <w:rPr>
          <w:rFonts w:ascii="Times New Roman" w:hAnsi="Times New Roman" w:cs="Times New Roman"/>
        </w:rPr>
        <w:br w:type="page"/>
      </w:r>
    </w:p>
    <w:p w14:paraId="36741F95" w14:textId="7DBBAA7F" w:rsidR="00590766" w:rsidRDefault="00590766" w:rsidP="00881BD0">
      <w:pPr>
        <w:pStyle w:val="Heading1"/>
        <w:spacing w:line="360" w:lineRule="auto"/>
        <w:rPr>
          <w:rFonts w:ascii="Times New Roman" w:hAnsi="Times New Roman" w:cs="Times New Roman"/>
          <w:color w:val="auto"/>
        </w:rPr>
      </w:pPr>
      <w:r w:rsidRPr="00590766">
        <w:rPr>
          <w:rFonts w:ascii="Times New Roman" w:hAnsi="Times New Roman" w:cs="Times New Roman"/>
          <w:color w:val="auto"/>
        </w:rPr>
        <w:lastRenderedPageBreak/>
        <w:t>3.0 Visuali</w:t>
      </w:r>
      <w:r w:rsidR="00BD1D1D">
        <w:rPr>
          <w:rFonts w:ascii="Times New Roman" w:hAnsi="Times New Roman" w:cs="Times New Roman"/>
          <w:color w:val="auto"/>
        </w:rPr>
        <w:t>z</w:t>
      </w:r>
      <w:r w:rsidRPr="00590766">
        <w:rPr>
          <w:rFonts w:ascii="Times New Roman" w:hAnsi="Times New Roman" w:cs="Times New Roman"/>
          <w:color w:val="auto"/>
        </w:rPr>
        <w:t>ation Design</w:t>
      </w:r>
    </w:p>
    <w:p w14:paraId="20759371" w14:textId="49ECD18C" w:rsidR="00BD1D1D" w:rsidRPr="00BD1D1D" w:rsidRDefault="00BD1D1D" w:rsidP="00881BD0">
      <w:pPr>
        <w:pStyle w:val="Heading2"/>
        <w:spacing w:line="360" w:lineRule="auto"/>
        <w:rPr>
          <w:rFonts w:ascii="Times New Roman" w:hAnsi="Times New Roman" w:cs="Times New Roman"/>
          <w:color w:val="auto"/>
        </w:rPr>
      </w:pPr>
      <w:r w:rsidRPr="00BD1D1D">
        <w:rPr>
          <w:rFonts w:ascii="Times New Roman" w:hAnsi="Times New Roman" w:cs="Times New Roman"/>
          <w:color w:val="auto"/>
        </w:rPr>
        <w:t>3.1 Website Design</w:t>
      </w:r>
    </w:p>
    <w:p w14:paraId="60B873CD" w14:textId="793100CC" w:rsidR="00BD1D1D" w:rsidRPr="00BD1D1D" w:rsidRDefault="00BD1D1D" w:rsidP="00881BD0">
      <w:pPr>
        <w:spacing w:line="360" w:lineRule="auto"/>
        <w:rPr>
          <w:rFonts w:ascii="Times New Roman" w:hAnsi="Times New Roman" w:cs="Times New Roman"/>
        </w:rPr>
      </w:pPr>
      <w:r w:rsidRPr="00BD1D1D">
        <w:rPr>
          <w:rFonts w:ascii="Times New Roman" w:hAnsi="Times New Roman" w:cs="Times New Roman"/>
        </w:rPr>
        <w:t>The design of the site revolves around a dark-mode design that consists of a charcoal background to reduce eye strain from data reading for long periods and provide a high-contrast surface for colourful visualizations. The layout of web pages follows a vertical reading order with a fixed navigation header tracking how far down users scroll. Just below the fixed navigation header is an eye-catching hero banner showcasing animated, real-time stat counters counting up from zero to the total of system-wide metrics, providing context for users on the scale of the data they see about how law enforcement operates throughout the world.</w:t>
      </w:r>
    </w:p>
    <w:p w14:paraId="2E13C9DB" w14:textId="1F3F74E3" w:rsidR="00BD1D1D" w:rsidRDefault="00BD1D1D" w:rsidP="00881BD0">
      <w:pPr>
        <w:spacing w:line="360" w:lineRule="auto"/>
        <w:rPr>
          <w:rFonts w:ascii="Times New Roman" w:hAnsi="Times New Roman" w:cs="Times New Roman"/>
        </w:rPr>
      </w:pPr>
      <w:r w:rsidRPr="00BD1D1D">
        <w:rPr>
          <w:rFonts w:ascii="Times New Roman" w:hAnsi="Times New Roman" w:cs="Times New Roman"/>
        </w:rPr>
        <w:t>The primary dashboard is laid out in a simple grid format so that all visualizations are arranged in independent cards separated by thin, horizontal lines, separating different sections of the layout. This interface is the result of mapping out the four-step user interaction storyboard, which connects all elements of the interface. The first page the user lands on displays animated stat counters, directing the user's attention to the totals of all enforcement operations around the world. Once the user starts scrolling down, they encounter a time-series section where they can use the interface-controlled view options to remove any anomalous spikes in data and reveal any underlying trend lines of normal performance. Continuing down the interface, it breaks apart into dual jurisdictional performance cards juxtaposed with one another to further encourage the user to toggle secondary filters to identify different operational performance within a specific jurisdiction.</w:t>
      </w:r>
    </w:p>
    <w:p w14:paraId="1DEF3188" w14:textId="7C4BE493" w:rsidR="00BD1D1D" w:rsidRPr="00BD1D1D" w:rsidRDefault="00F20FEA" w:rsidP="00881BD0">
      <w:pPr>
        <w:spacing w:line="360" w:lineRule="auto"/>
        <w:rPr>
          <w:rFonts w:ascii="Times New Roman" w:hAnsi="Times New Roman" w:cs="Times New Roman"/>
        </w:rPr>
      </w:pPr>
      <w:r>
        <w:rPr>
          <w:rFonts w:ascii="Times New Roman" w:hAnsi="Times New Roman" w:cs="Times New Roman"/>
        </w:rPr>
        <w:br w:type="page"/>
      </w:r>
    </w:p>
    <w:p w14:paraId="49C27D3F" w14:textId="16A1F39D" w:rsidR="00BD1D1D" w:rsidRPr="00BD1D1D" w:rsidRDefault="00BD1D1D" w:rsidP="00881BD0">
      <w:pPr>
        <w:pStyle w:val="Heading2"/>
        <w:spacing w:line="360" w:lineRule="auto"/>
        <w:rPr>
          <w:rFonts w:ascii="Times New Roman" w:hAnsi="Times New Roman" w:cs="Times New Roman"/>
          <w:color w:val="auto"/>
        </w:rPr>
      </w:pPr>
      <w:r w:rsidRPr="00BD1D1D">
        <w:rPr>
          <w:rFonts w:ascii="Times New Roman" w:hAnsi="Times New Roman" w:cs="Times New Roman"/>
          <w:color w:val="auto"/>
        </w:rPr>
        <w:lastRenderedPageBreak/>
        <w:t>3.2 Visualization Design</w:t>
      </w:r>
    </w:p>
    <w:p w14:paraId="66B1A588" w14:textId="3F99D0EB" w:rsidR="00F20FEA" w:rsidRDefault="00F20FEA" w:rsidP="00881BD0">
      <w:pPr>
        <w:spacing w:line="360" w:lineRule="auto"/>
        <w:rPr>
          <w:rFonts w:ascii="Times New Roman" w:hAnsi="Times New Roman" w:cs="Times New Roman"/>
        </w:rPr>
      </w:pPr>
      <w:r w:rsidRPr="00F20FEA">
        <w:rPr>
          <w:rFonts w:ascii="Times New Roman" w:hAnsi="Times New Roman" w:cs="Times New Roman"/>
        </w:rPr>
        <w:t xml:space="preserve">Selecting proper visualization models is critical to accurately map the data set across different dimensions. The section containing temporal trends employs vertical bar charts with separate discrete categorical blocks for each month along the x-axis for intuitive month-to-month comparisons of the data sets. For presenting the regional rankings, horizontal bar charts use the left vertical axis to accommodate long jurisdictional name strings without causing cluttered or tilted labels which are typically found on vertical axes. A grouped vertical bar chart shows the primary age groups and their respective internal sub-scale, allowing the user to compare their driving </w:t>
      </w:r>
      <w:r w:rsidR="00F758E4" w:rsidRPr="00F20FEA">
        <w:rPr>
          <w:rFonts w:ascii="Times New Roman" w:hAnsi="Times New Roman" w:cs="Times New Roman"/>
        </w:rPr>
        <w:t>behaviour</w:t>
      </w:r>
      <w:r w:rsidRPr="00F20FEA">
        <w:rPr>
          <w:rFonts w:ascii="Times New Roman" w:hAnsi="Times New Roman" w:cs="Times New Roman"/>
        </w:rPr>
        <w:t xml:space="preserve"> within that age group and compared across age groups. To provide a visual representation of the multi-dimensional density of the data without overloading tables, a heatmap matrix uses </w:t>
      </w:r>
      <w:r w:rsidR="00F758E4" w:rsidRPr="00F20FEA">
        <w:rPr>
          <w:rFonts w:ascii="Times New Roman" w:hAnsi="Times New Roman" w:cs="Times New Roman"/>
        </w:rPr>
        <w:t>colour</w:t>
      </w:r>
      <w:r w:rsidRPr="00F20FEA">
        <w:rPr>
          <w:rFonts w:ascii="Times New Roman" w:hAnsi="Times New Roman" w:cs="Times New Roman"/>
        </w:rPr>
        <w:t xml:space="preserve"> gradients to identify high-risk areas while placing structural location categories next to the respective age groups. Finally, a logarithmic multi-line chart plots geographic data coordinates as a continuous path so that users can see whether a particular set of enforcement metrics has increased or decreased in relation to another metric in different regions.</w:t>
      </w:r>
    </w:p>
    <w:p w14:paraId="3012C03B" w14:textId="5DE15944" w:rsidR="00881BD0" w:rsidRDefault="00F20FEA" w:rsidP="00881BD0">
      <w:pPr>
        <w:spacing w:line="360" w:lineRule="auto"/>
        <w:rPr>
          <w:rFonts w:ascii="Times New Roman" w:hAnsi="Times New Roman" w:cs="Times New Roman"/>
        </w:rPr>
      </w:pPr>
      <w:r w:rsidRPr="00F20FEA">
        <w:rPr>
          <w:rFonts w:ascii="Times New Roman" w:hAnsi="Times New Roman" w:cs="Times New Roman"/>
        </w:rPr>
        <w:t xml:space="preserve">It was designed based on fundamental principles of visualisation, ensuring clarity, accessibility, and responsiveness in its design. All linear scale charts anchor their axes to a true zero baseline which will stop them being misrepresentative of small differences because they are truncated and then no longer show a relationship to the true value. For the scales where metrics span a large range (e.g. $10 to $100 trillion), using a logarithmic scale enables lower- volume data points to still be displayed and distinguishable from massive values. The colour scheme of all of the charts is defined by using unique colour tokens (e.g. corporate blue for fines, light pink for serious physical penalties - e.g. arrests; </w:t>
      </w:r>
      <w:r w:rsidR="00F758E4">
        <w:rPr>
          <w:rFonts w:ascii="Times New Roman" w:hAnsi="Times New Roman" w:cs="Times New Roman"/>
        </w:rPr>
        <w:t xml:space="preserve">a mix of </w:t>
      </w:r>
      <w:r w:rsidRPr="00F20FEA">
        <w:rPr>
          <w:rFonts w:ascii="Times New Roman" w:hAnsi="Times New Roman" w:cs="Times New Roman"/>
        </w:rPr>
        <w:t>orange</w:t>
      </w:r>
      <w:r w:rsidR="00F758E4">
        <w:rPr>
          <w:rFonts w:ascii="Times New Roman" w:hAnsi="Times New Roman" w:cs="Times New Roman"/>
        </w:rPr>
        <w:t xml:space="preserve"> and </w:t>
      </w:r>
      <w:r w:rsidRPr="00F20FEA">
        <w:rPr>
          <w:rFonts w:ascii="Times New Roman" w:hAnsi="Times New Roman" w:cs="Times New Roman"/>
        </w:rPr>
        <w:t xml:space="preserve">yellow for court charges) against a dark grey 'slate' background in order to give sufficient contrast between colours and be visible to colour blind users. Charts do not have fixed pixel dimensions, but instead, chart container widths are determined at runtime, and charts' root elements have scale properties added to them dynamically, resulting in the charts being able to continue to display correctly and scale down without issue on mobile devices. Data labels are overlaid on top of the visualisations in order for the value of that item to be easily identified. Short-hand formats, such as million, thousand, etc, of values have been applied to data labels so that there </w:t>
      </w:r>
      <w:r w:rsidR="00F758E4" w:rsidRPr="00F20FEA">
        <w:rPr>
          <w:rFonts w:ascii="Times New Roman" w:hAnsi="Times New Roman" w:cs="Times New Roman"/>
        </w:rPr>
        <w:t>are</w:t>
      </w:r>
      <w:r w:rsidRPr="00F20FEA">
        <w:rPr>
          <w:rFonts w:ascii="Times New Roman" w:hAnsi="Times New Roman" w:cs="Times New Roman"/>
        </w:rPr>
        <w:t xml:space="preserve"> minimal embellishments added visually. Interactive tooltips are available as an interactive layer of detail displaying exact coordinates of the mouse cursor, </w:t>
      </w:r>
      <w:r w:rsidRPr="00F20FEA">
        <w:rPr>
          <w:rFonts w:ascii="Times New Roman" w:hAnsi="Times New Roman" w:cs="Times New Roman"/>
        </w:rPr>
        <w:lastRenderedPageBreak/>
        <w:t>allowing for the display of exact raw numbers for the data displayed at the location of the mouse on demand.</w:t>
      </w:r>
      <w:r w:rsidR="00881BD0">
        <w:rPr>
          <w:rFonts w:ascii="Times New Roman" w:hAnsi="Times New Roman" w:cs="Times New Roman"/>
        </w:rPr>
        <w:br w:type="page"/>
      </w:r>
    </w:p>
    <w:p w14:paraId="4409B4C7" w14:textId="1F9202D1" w:rsidR="00F20FEA" w:rsidRDefault="00881BD0" w:rsidP="00881BD0">
      <w:pPr>
        <w:pStyle w:val="Heading2"/>
        <w:spacing w:line="360" w:lineRule="auto"/>
        <w:rPr>
          <w:rFonts w:ascii="Times New Roman" w:hAnsi="Times New Roman" w:cs="Times New Roman"/>
          <w:color w:val="auto"/>
        </w:rPr>
      </w:pPr>
      <w:r w:rsidRPr="00881BD0">
        <w:rPr>
          <w:rFonts w:ascii="Times New Roman" w:hAnsi="Times New Roman" w:cs="Times New Roman"/>
          <w:color w:val="auto"/>
        </w:rPr>
        <w:lastRenderedPageBreak/>
        <w:t>3.3 Interaction Design</w:t>
      </w:r>
    </w:p>
    <w:p w14:paraId="310CC1C9" w14:textId="77777777" w:rsidR="00881BD0" w:rsidRPr="00881BD0" w:rsidRDefault="00881BD0" w:rsidP="00881BD0">
      <w:pPr>
        <w:spacing w:line="360" w:lineRule="auto"/>
        <w:rPr>
          <w:rFonts w:ascii="Times New Roman" w:hAnsi="Times New Roman" w:cs="Times New Roman"/>
        </w:rPr>
      </w:pPr>
      <w:r w:rsidRPr="00881BD0">
        <w:rPr>
          <w:rFonts w:ascii="Times New Roman" w:hAnsi="Times New Roman" w:cs="Times New Roman"/>
        </w:rPr>
        <w:t>Interactive charting capabilities enable a user to develop a dynamic, exploratory dashboard through the use of multiple parameters associated with a group of universal buttons that govern the way in which each view changes within the different sections of the dashboards. The basic principle of operation for the filtering capability involves using a clicked filter control to remove active styling from all other sibling nodes, which effectively resets all associated state variables for each of those siblings, and triggering an explicit D3.js chart update pipeline. Additionally, a sophisticated cascading waterfall effect can be displayed to users when elements transition through data sets, as all elements create an indexing multiplied delay configuration over an explicit animation loop for each of their transitions to prevent users from losing their position while navigating through data in transition.</w:t>
      </w:r>
    </w:p>
    <w:p w14:paraId="43EA0F53" w14:textId="2F0A8840" w:rsidR="00881BD0" w:rsidRPr="00881BD0" w:rsidRDefault="00881BD0" w:rsidP="00881BD0">
      <w:pPr>
        <w:spacing w:line="360" w:lineRule="auto"/>
        <w:rPr>
          <w:rFonts w:ascii="Times New Roman" w:hAnsi="Times New Roman" w:cs="Times New Roman"/>
        </w:rPr>
      </w:pPr>
      <w:r w:rsidRPr="00881BD0">
        <w:rPr>
          <w:rFonts w:ascii="Times New Roman" w:hAnsi="Times New Roman" w:cs="Times New Roman"/>
        </w:rPr>
        <w:t>A well-defined system of feedback loops and actions control the interactive environment. When a user clicks on a temporal control, the monthly chart updates its vertical scale of either raw or adjusted baseline data for the underlying data points. Additional metric options provide alternate versions of the underlying data arrays for the jurisdictional charts, immediately changing the visual palette and re-sorting the horizontal bars based on these new volumes.</w:t>
      </w:r>
    </w:p>
    <w:p w14:paraId="022B8F51" w14:textId="4219D5DE" w:rsidR="00881BD0" w:rsidRPr="00881BD0" w:rsidRDefault="00881BD0" w:rsidP="00881BD0">
      <w:pPr>
        <w:spacing w:line="360" w:lineRule="auto"/>
        <w:rPr>
          <w:rFonts w:ascii="Times New Roman" w:hAnsi="Times New Roman" w:cs="Times New Roman"/>
        </w:rPr>
      </w:pPr>
      <w:r w:rsidRPr="00881BD0">
        <w:rPr>
          <w:rFonts w:ascii="Times New Roman" w:hAnsi="Times New Roman" w:cs="Times New Roman"/>
        </w:rPr>
        <w:t>As a user hovers over any active chart element, an immediate visual feedback loop will activate: The targeted bar or line will brighten, have a distinctive white stroke border placed around it, and contain a detailed tooltip card that the user can reference. As a mouse travels across any active visualization, the system updates the coordinates used to anchor the tooltip card relative to the active visualization element (fixed offsets of -15 pixels left and -10 pixels above).</w:t>
      </w:r>
    </w:p>
    <w:p w14:paraId="47B217B1" w14:textId="5C25BE83" w:rsidR="00881BD0" w:rsidRPr="00881BD0" w:rsidRDefault="00881BD0" w:rsidP="00881BD0">
      <w:pPr>
        <w:spacing w:line="360" w:lineRule="auto"/>
        <w:rPr>
          <w:rFonts w:ascii="Times New Roman" w:hAnsi="Times New Roman" w:cs="Times New Roman"/>
        </w:rPr>
      </w:pPr>
      <w:r w:rsidRPr="00881BD0">
        <w:rPr>
          <w:rFonts w:ascii="Times New Roman" w:hAnsi="Times New Roman" w:cs="Times New Roman"/>
        </w:rPr>
        <w:t>When the user's cursor leaves the chart element, the system will cleanly remove the stroke outline from the element, return the element to its original opacity, and fully hide the tooltip card, contributing to an uncluttered interface.</w:t>
      </w:r>
    </w:p>
    <w:sectPr w:rsidR="00881BD0" w:rsidRPr="00881BD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480"/>
    <w:multiLevelType w:val="multilevel"/>
    <w:tmpl w:val="0F905E3A"/>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849876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97F"/>
    <w:rsid w:val="00003331"/>
    <w:rsid w:val="00003837"/>
    <w:rsid w:val="00017903"/>
    <w:rsid w:val="00060659"/>
    <w:rsid w:val="0023097F"/>
    <w:rsid w:val="00232E31"/>
    <w:rsid w:val="002E6F1A"/>
    <w:rsid w:val="00521CB9"/>
    <w:rsid w:val="00590766"/>
    <w:rsid w:val="005F0886"/>
    <w:rsid w:val="0063225A"/>
    <w:rsid w:val="00644CEB"/>
    <w:rsid w:val="00723195"/>
    <w:rsid w:val="00786123"/>
    <w:rsid w:val="00881BD0"/>
    <w:rsid w:val="009F79B9"/>
    <w:rsid w:val="00A219AD"/>
    <w:rsid w:val="00A55BF6"/>
    <w:rsid w:val="00A75772"/>
    <w:rsid w:val="00BD1D1D"/>
    <w:rsid w:val="00EA74E2"/>
    <w:rsid w:val="00F20FEA"/>
    <w:rsid w:val="00F43C33"/>
    <w:rsid w:val="00F758E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D07A1"/>
  <w15:chartTrackingRefBased/>
  <w15:docId w15:val="{EDC5165E-3AE5-4E45-A01B-51D77E5E9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0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0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97F"/>
    <w:rPr>
      <w:rFonts w:eastAsiaTheme="majorEastAsia" w:cstheme="majorBidi"/>
      <w:color w:val="272727" w:themeColor="text1" w:themeTint="D8"/>
    </w:rPr>
  </w:style>
  <w:style w:type="paragraph" w:styleId="Title">
    <w:name w:val="Title"/>
    <w:basedOn w:val="Normal"/>
    <w:next w:val="Normal"/>
    <w:link w:val="TitleChar"/>
    <w:uiPriority w:val="10"/>
    <w:qFormat/>
    <w:rsid w:val="0023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97F"/>
    <w:pPr>
      <w:spacing w:before="160"/>
      <w:jc w:val="center"/>
    </w:pPr>
    <w:rPr>
      <w:i/>
      <w:iCs/>
      <w:color w:val="404040" w:themeColor="text1" w:themeTint="BF"/>
    </w:rPr>
  </w:style>
  <w:style w:type="character" w:customStyle="1" w:styleId="QuoteChar">
    <w:name w:val="Quote Char"/>
    <w:basedOn w:val="DefaultParagraphFont"/>
    <w:link w:val="Quote"/>
    <w:uiPriority w:val="29"/>
    <w:rsid w:val="0023097F"/>
    <w:rPr>
      <w:i/>
      <w:iCs/>
      <w:color w:val="404040" w:themeColor="text1" w:themeTint="BF"/>
    </w:rPr>
  </w:style>
  <w:style w:type="paragraph" w:styleId="ListParagraph">
    <w:name w:val="List Paragraph"/>
    <w:basedOn w:val="Normal"/>
    <w:uiPriority w:val="34"/>
    <w:qFormat/>
    <w:rsid w:val="0023097F"/>
    <w:pPr>
      <w:ind w:left="720"/>
      <w:contextualSpacing/>
    </w:pPr>
  </w:style>
  <w:style w:type="character" w:styleId="IntenseEmphasis">
    <w:name w:val="Intense Emphasis"/>
    <w:basedOn w:val="DefaultParagraphFont"/>
    <w:uiPriority w:val="21"/>
    <w:qFormat/>
    <w:rsid w:val="0023097F"/>
    <w:rPr>
      <w:i/>
      <w:iCs/>
      <w:color w:val="0F4761" w:themeColor="accent1" w:themeShade="BF"/>
    </w:rPr>
  </w:style>
  <w:style w:type="paragraph" w:styleId="IntenseQuote">
    <w:name w:val="Intense Quote"/>
    <w:basedOn w:val="Normal"/>
    <w:next w:val="Normal"/>
    <w:link w:val="IntenseQuoteChar"/>
    <w:uiPriority w:val="30"/>
    <w:qFormat/>
    <w:rsid w:val="00230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97F"/>
    <w:rPr>
      <w:i/>
      <w:iCs/>
      <w:color w:val="0F4761" w:themeColor="accent1" w:themeShade="BF"/>
    </w:rPr>
  </w:style>
  <w:style w:type="character" w:styleId="IntenseReference">
    <w:name w:val="Intense Reference"/>
    <w:basedOn w:val="DefaultParagraphFont"/>
    <w:uiPriority w:val="32"/>
    <w:qFormat/>
    <w:rsid w:val="00230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450</TotalTime>
  <Pages>8</Pages>
  <Words>1737</Words>
  <Characters>9902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Feeesh</dc:creator>
  <cp:keywords/>
  <dc:description/>
  <cp:lastModifiedBy>Feeesh</cp:lastModifiedBy>
  <cp:revision>8</cp:revision>
  <dcterms:created xsi:type="dcterms:W3CDTF">2026-05-23T13:43:00Z</dcterms:created>
  <dcterms:modified xsi:type="dcterms:W3CDTF">2026-06-03T15:32:00Z</dcterms:modified>
</cp:coreProperties>
</file>