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Trace plots for the intercept and the paper-level random-intercept standard deviation demonstrated good mixing across chains, with no evidence of drift or multimodality. All parameters had R̂ ≤ 1.01 and adequate effective sample sizes, and no divergent transitions were observed. Posterior predictive checks showed good agreement between observed and simulated outcomes. Convergence diagnostics were satisfactory despite the small number of paper-level clusters.</w:t>
      </w:r>
    </w:p>
    <w:p>
      <w:pPr>
        <w:pStyle w:val="Titre1"/>
      </w:pPr>
      <w:r>
        <w:t xml:space="preserve">Table S1. Posterior parameter estimates from the Bayesian mixed-effects binary logistic regression model</w:t>
      </w:r>
    </w:p>
    <w:tbl xmlns:a="http://schemas.openxmlformats.org/drawingml/2006/main" xmlns:pic="http://schemas.openxmlformats.org/drawingml/2006/picture">
      <w:tblPr>
        <w:tblLayout w:type="fixed"/>
        <w:jc w:val="center"/>
        <w:tblLook w:firstRow="1" w:lastRow="0" w:firstColumn="0" w:lastColumn="0" w:noHBand="0" w:noVBand="1"/>
      </w:tblPr>
      <w:tblGrid>
        <w:gridCol w:w="1279"/>
        <w:gridCol w:w="1316"/>
        <w:gridCol w:w="1890"/>
        <w:gridCol w:w="1242"/>
        <w:gridCol w:w="1230"/>
        <w:gridCol w:w="1218"/>
        <w:gridCol w:w="1304"/>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std.error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conf.low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conf.high</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fixed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-0.774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0.870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-2.650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0.806</w:t>
            </w:r>
          </w:p>
        </w:tc>
      </w:tr>
      <w:tr>
        <w:trPr>
          <w:trHeight w:val="617"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ran_pars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paper_ID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sd__(Intercept)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2.496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1.183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0.431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w:rPr>
                <w:rFonts w:ascii="Arial" w:hAnsi="Arial" w:eastAsia="Arial" w:cs="Arial"/>
                <w:i w:val="false"/>
                <w:b w:val="false"/>
                <w:u w:val="none"/>
                <w:sz w:val="22"/>
                <w:szCs w:val="22"/>
                <w:color w:val="000000"/>
              </w:rPr>
              <w:t xml:space="preserve">5.248</w:t>
            </w:r>
          </w:p>
        </w:tc>
      </w:tr>
    </w:tbl>
    <w:p>
      <w:pPr>
        <w:pStyle w:val="Normal"/>
      </w:pPr>
      <w:r>
        <w:t xml:space="preserve">Note. Estimates are presented on the logit scale. SD denotes the standard deviation of the paper-level random intercept.</w:t>
      </w:r>
    </w:p>
    <w:p>
      <w:pPr>
        <w:pStyle w:val="Titre1"/>
      </w:pPr>
      <w:r>
        <w:t xml:space="preserve">Figure S1. MCMC diagnostic plots (trace and density).</w:t>
      </w:r>
    </w:p>
    <w:p>
      <w:pPr>
        <w:pStyle w:val="Normal"/>
      </w:pPr>
      <w:r>
        <w:rPr/>
        <w:drawing>
          <wp:inline distT="0" distB="0" distL="0" distR="0">
            <wp:extent cx="54864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76200" cy="50800"/>
                    </a:xfrm>
                    <a:prstGeom prst="rect">
                      <a:avLst/>
                    </a:prstGeom>
                    <a:noFill/>
                  </pic:spPr>
                </pic:pic>
              </a:graphicData>
            </a:graphic>
          </wp:inline>
        </w:drawing>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0dc97dc50f02d9d1d6d3ad957dcd2b8f18e85bed.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2026-04-07T14:50:39Z</dcterms:modified>
  <cp:category/>
</cp:coreProperties>
</file>