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1"/>
      </w:tblGrid>
      <w:tr w:rsidR="00071037" w:rsidRPr="00A65D97" w:rsidTr="00A65D97">
        <w:trPr>
          <w:trHeight w:val="1417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037" w:rsidRPr="00A65D97" w:rsidRDefault="00A3391D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  <w:r w:rsidRPr="00A65D97">
              <w:rPr>
                <w:sz w:val="28"/>
                <w:lang w:val="pl-PL"/>
              </w:rPr>
              <w:t>Automatyka i Robotyka</w:t>
            </w:r>
          </w:p>
          <w:p w:rsidR="00071037" w:rsidRPr="00A65D97" w:rsidRDefault="00A3391D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  <w:r w:rsidRPr="00A65D97">
              <w:rPr>
                <w:sz w:val="28"/>
                <w:lang w:val="pl-PL"/>
              </w:rPr>
              <w:t>Komputerowe Systemy Sterowania</w:t>
            </w:r>
          </w:p>
          <w:p w:rsidR="00071037" w:rsidRPr="00A65D97" w:rsidRDefault="00A3391D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  <w:r w:rsidRPr="00A65D97">
              <w:rPr>
                <w:sz w:val="28"/>
                <w:lang w:val="pl-PL"/>
              </w:rPr>
              <w:t>Robotyka</w:t>
            </w:r>
          </w:p>
        </w:tc>
      </w:tr>
      <w:tr w:rsidR="00071037" w:rsidRPr="00A65D97" w:rsidTr="00A65D97">
        <w:trPr>
          <w:trHeight w:val="1007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037" w:rsidRPr="00A65D97" w:rsidRDefault="00A3391D">
            <w:pPr>
              <w:pStyle w:val="Standard"/>
              <w:spacing w:before="0" w:after="0"/>
              <w:jc w:val="center"/>
              <w:rPr>
                <w:sz w:val="32"/>
                <w:lang w:val="pl-PL"/>
              </w:rPr>
            </w:pPr>
            <w:r w:rsidRPr="00A65D97">
              <w:rPr>
                <w:sz w:val="32"/>
                <w:lang w:val="pl-PL"/>
              </w:rPr>
              <w:t>Projektowanie Układów Automatyki Przemysłowej</w:t>
            </w:r>
          </w:p>
        </w:tc>
      </w:tr>
      <w:tr w:rsidR="00071037" w:rsidRPr="00A65D97" w:rsidTr="00A65D97">
        <w:trPr>
          <w:trHeight w:val="1976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037" w:rsidRPr="00A65D97" w:rsidRDefault="00A3391D" w:rsidP="00A65D97">
            <w:pPr>
              <w:pStyle w:val="Tytu"/>
              <w:jc w:val="center"/>
              <w:rPr>
                <w:b/>
                <w:lang w:val="pl-PL"/>
              </w:rPr>
            </w:pPr>
            <w:r w:rsidRPr="00A65D97">
              <w:rPr>
                <w:b/>
                <w:sz w:val="48"/>
                <w:lang w:val="pl-PL"/>
              </w:rPr>
              <w:t>Analiza dz</w:t>
            </w:r>
            <w:r w:rsidR="00A65D97" w:rsidRPr="00A65D97">
              <w:rPr>
                <w:b/>
                <w:sz w:val="48"/>
                <w:lang w:val="pl-PL"/>
              </w:rPr>
              <w:t>iałania regulatora LQG dla wybra</w:t>
            </w:r>
            <w:r w:rsidRPr="00A65D97">
              <w:rPr>
                <w:b/>
                <w:sz w:val="48"/>
                <w:lang w:val="pl-PL"/>
              </w:rPr>
              <w:t>nych 5 problemów z zestawu problemów 2</w:t>
            </w:r>
          </w:p>
        </w:tc>
      </w:tr>
      <w:tr w:rsidR="00071037" w:rsidRPr="00A65D97" w:rsidTr="00A65D97">
        <w:trPr>
          <w:trHeight w:val="6224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037" w:rsidRPr="00A65D97" w:rsidRDefault="00A3391D">
            <w:pPr>
              <w:pStyle w:val="Standard"/>
              <w:spacing w:before="0" w:after="0"/>
              <w:jc w:val="center"/>
              <w:rPr>
                <w:lang w:val="pl-PL"/>
              </w:rPr>
            </w:pPr>
            <w:r w:rsidRPr="00A65D97">
              <w:rPr>
                <w:lang w:val="pl-PL" w:eastAsia="pl-PL" w:bidi="ar-SA"/>
              </w:rPr>
              <w:drawing>
                <wp:inline distT="0" distB="0" distL="0" distR="0">
                  <wp:extent cx="5667479" cy="2763360"/>
                  <wp:effectExtent l="0" t="0" r="9421" b="0"/>
                  <wp:docPr id="1" name="Obraz 5" descr="C:\Users\wrona\Desktop\agh_nzw_s_pl_1w_wbr_rgb_150ppi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479" cy="276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037" w:rsidRPr="00A65D97" w:rsidTr="00A65D97">
        <w:trPr>
          <w:trHeight w:val="695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037" w:rsidRPr="00A65D97" w:rsidRDefault="00A3391D">
            <w:pPr>
              <w:pStyle w:val="Standard"/>
              <w:spacing w:before="0" w:after="0"/>
              <w:rPr>
                <w:b/>
                <w:lang w:val="pl-PL"/>
              </w:rPr>
            </w:pPr>
            <w:r w:rsidRPr="00A65D97">
              <w:rPr>
                <w:b/>
                <w:lang w:val="pl-PL"/>
              </w:rPr>
              <w:t>Autor:</w:t>
            </w:r>
          </w:p>
          <w:p w:rsidR="00071037" w:rsidRPr="00A65D97" w:rsidRDefault="00A3391D">
            <w:pPr>
              <w:pStyle w:val="Standard"/>
              <w:spacing w:before="0" w:after="0"/>
              <w:rPr>
                <w:lang w:val="pl-PL"/>
              </w:rPr>
            </w:pPr>
            <w:r w:rsidRPr="00A65D97">
              <w:rPr>
                <w:sz w:val="32"/>
                <w:lang w:val="pl-PL"/>
              </w:rPr>
              <w:t>Dawid Wrona</w:t>
            </w:r>
          </w:p>
        </w:tc>
      </w:tr>
      <w:tr w:rsidR="00071037" w:rsidRPr="00A65D97" w:rsidTr="00A65D97">
        <w:trPr>
          <w:trHeight w:val="705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D97" w:rsidRDefault="00A65D97">
            <w:pPr>
              <w:pStyle w:val="Standard"/>
              <w:spacing w:before="0" w:after="0"/>
              <w:rPr>
                <w:lang w:val="pl-PL"/>
              </w:rPr>
            </w:pPr>
          </w:p>
          <w:p w:rsidR="00071037" w:rsidRPr="00A65D97" w:rsidRDefault="00A3391D">
            <w:pPr>
              <w:pStyle w:val="Standard"/>
              <w:spacing w:before="0" w:after="0"/>
              <w:rPr>
                <w:lang w:val="pl-PL"/>
              </w:rPr>
            </w:pPr>
            <w:r w:rsidRPr="00A65D97">
              <w:rPr>
                <w:b/>
                <w:lang w:val="pl-PL"/>
              </w:rPr>
              <w:t>Ocena</w:t>
            </w:r>
            <w:r w:rsidRPr="00A65D97">
              <w:rPr>
                <w:lang w:val="pl-PL"/>
              </w:rPr>
              <w:t>:</w:t>
            </w:r>
          </w:p>
          <w:p w:rsidR="00071037" w:rsidRPr="00A65D97" w:rsidRDefault="00071037">
            <w:pPr>
              <w:pStyle w:val="Standard"/>
              <w:spacing w:before="0" w:after="0"/>
              <w:rPr>
                <w:lang w:val="pl-PL"/>
              </w:rPr>
            </w:pPr>
          </w:p>
        </w:tc>
      </w:tr>
      <w:tr w:rsidR="00071037" w:rsidRPr="00A65D97" w:rsidTr="00A65D97">
        <w:trPr>
          <w:trHeight w:val="1976"/>
        </w:trPr>
        <w:tc>
          <w:tcPr>
            <w:tcW w:w="100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D97" w:rsidRDefault="00A65D97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</w:p>
          <w:p w:rsidR="00A65D97" w:rsidRDefault="00A65D97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</w:p>
          <w:p w:rsidR="00A65D97" w:rsidRDefault="00A65D97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</w:p>
          <w:p w:rsidR="00A65D97" w:rsidRDefault="00A65D97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</w:p>
          <w:p w:rsidR="00A65D97" w:rsidRDefault="00A65D97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</w:p>
          <w:p w:rsidR="00071037" w:rsidRPr="00A65D97" w:rsidRDefault="00A3391D">
            <w:pPr>
              <w:pStyle w:val="Standard"/>
              <w:spacing w:before="0" w:after="0"/>
              <w:jc w:val="center"/>
              <w:rPr>
                <w:sz w:val="28"/>
                <w:lang w:val="pl-PL"/>
              </w:rPr>
            </w:pPr>
            <w:r w:rsidRPr="00A65D97">
              <w:rPr>
                <w:sz w:val="28"/>
                <w:lang w:val="pl-PL"/>
              </w:rPr>
              <w:t>Kraków, styczeń 2016</w:t>
            </w:r>
          </w:p>
        </w:tc>
      </w:tr>
    </w:tbl>
    <w:p w:rsidR="00B452E8" w:rsidRPr="00A65D97" w:rsidRDefault="00B452E8">
      <w:pPr>
        <w:rPr>
          <w:lang w:val="pl-PL"/>
        </w:rPr>
      </w:pPr>
      <w:r w:rsidRPr="00A65D97">
        <w:rPr>
          <w:lang w:val="pl-PL"/>
        </w:rPr>
        <w:lastRenderedPageBreak/>
        <w:br w:type="page"/>
      </w:r>
    </w:p>
    <w:sdt>
      <w:sdtPr>
        <w:rPr>
          <w:lang w:val="pl-PL"/>
        </w:rPr>
        <w:id w:val="9635435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A65D97" w:rsidRPr="00A65D97" w:rsidRDefault="00A65D97" w:rsidP="00A65D97">
          <w:pPr>
            <w:pStyle w:val="Nagwekspisutreci"/>
            <w:numPr>
              <w:ilvl w:val="0"/>
              <w:numId w:val="0"/>
            </w:numPr>
            <w:ind w:left="432" w:hanging="432"/>
            <w:rPr>
              <w:rStyle w:val="Wyrnienieintensywne"/>
              <w:lang w:val="pl-PL"/>
            </w:rPr>
          </w:pPr>
          <w:r w:rsidRPr="00A65D97">
            <w:rPr>
              <w:rStyle w:val="Wyrnienieintensywne"/>
              <w:lang w:val="pl-PL"/>
            </w:rPr>
            <w:t>Spis treści</w:t>
          </w:r>
        </w:p>
        <w:p w:rsidR="00A65D97" w:rsidRDefault="00A65D97">
          <w:pPr>
            <w:pStyle w:val="Spistreci1"/>
            <w:tabs>
              <w:tab w:val="left" w:pos="480"/>
              <w:tab w:val="right" w:leader="dot" w:pos="9628"/>
            </w:tabs>
            <w:rPr>
              <w:noProof/>
              <w:lang w:val="pl-PL" w:eastAsia="pl-PL" w:bidi="ar-SA"/>
            </w:rPr>
          </w:pPr>
          <w:r w:rsidRPr="00A65D97">
            <w:rPr>
              <w:rFonts w:asciiTheme="majorHAnsi" w:hAnsiTheme="majorHAnsi"/>
              <w:lang w:val="pl-PL"/>
            </w:rPr>
            <w:fldChar w:fldCharType="begin"/>
          </w:r>
          <w:r w:rsidRPr="00A65D97">
            <w:rPr>
              <w:rFonts w:asciiTheme="majorHAnsi" w:hAnsiTheme="majorHAnsi"/>
              <w:lang w:val="pl-PL"/>
            </w:rPr>
            <w:instrText xml:space="preserve"> TOC \o "1-3" \h \z \u </w:instrText>
          </w:r>
          <w:r w:rsidRPr="00A65D97">
            <w:rPr>
              <w:rFonts w:asciiTheme="majorHAnsi" w:hAnsiTheme="majorHAnsi"/>
              <w:lang w:val="pl-PL"/>
            </w:rPr>
            <w:fldChar w:fldCharType="separate"/>
          </w:r>
          <w:hyperlink w:anchor="_Toc440989129" w:history="1">
            <w:r w:rsidRPr="00C208F0">
              <w:rPr>
                <w:rStyle w:val="Hipercze"/>
                <w:noProof/>
                <w:lang w:val="pl-PL"/>
              </w:rPr>
              <w:t>1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1"/>
            <w:tabs>
              <w:tab w:val="left" w:pos="4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0" w:history="1">
            <w:r w:rsidRPr="00C208F0">
              <w:rPr>
                <w:rStyle w:val="Hipercze"/>
                <w:noProof/>
                <w:lang w:val="pl-PL"/>
              </w:rPr>
              <w:t>2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Synteza regulatora LQG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2"/>
            <w:tabs>
              <w:tab w:val="left" w:pos="8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1" w:history="1">
            <w:r w:rsidRPr="00C208F0">
              <w:rPr>
                <w:rStyle w:val="Hipercze"/>
                <w:noProof/>
                <w:lang w:val="pl-PL"/>
              </w:rPr>
              <w:t>2.1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Synteza regulatora 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2"/>
            <w:tabs>
              <w:tab w:val="left" w:pos="8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2" w:history="1">
            <w:r w:rsidRPr="00C208F0">
              <w:rPr>
                <w:rStyle w:val="Hipercze"/>
                <w:noProof/>
                <w:lang w:val="pl-PL"/>
              </w:rPr>
              <w:t>2.2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Synteza filtru Kalmana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2"/>
            <w:tabs>
              <w:tab w:val="left" w:pos="8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3" w:history="1">
            <w:r w:rsidRPr="00C208F0">
              <w:rPr>
                <w:rStyle w:val="Hipercze"/>
                <w:noProof/>
                <w:lang w:val="pl-PL"/>
              </w:rPr>
              <w:t>2.3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Synteza regulatora LQG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1"/>
            <w:tabs>
              <w:tab w:val="left" w:pos="4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4" w:history="1">
            <w:r w:rsidRPr="00C208F0">
              <w:rPr>
                <w:rStyle w:val="Hipercze"/>
                <w:noProof/>
                <w:lang w:val="pl-PL"/>
              </w:rPr>
              <w:t>3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Tworzenie modelu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1"/>
            <w:tabs>
              <w:tab w:val="left" w:pos="4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5" w:history="1">
            <w:r w:rsidRPr="00C208F0">
              <w:rPr>
                <w:rStyle w:val="Hipercze"/>
                <w:noProof/>
                <w:lang w:val="pl-PL"/>
              </w:rPr>
              <w:t>4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Default="00A65D97">
          <w:pPr>
            <w:pStyle w:val="Spistreci1"/>
            <w:tabs>
              <w:tab w:val="left" w:pos="480"/>
              <w:tab w:val="right" w:leader="dot" w:pos="9628"/>
            </w:tabs>
            <w:rPr>
              <w:noProof/>
              <w:lang w:val="pl-PL" w:eastAsia="pl-PL" w:bidi="ar-SA"/>
            </w:rPr>
          </w:pPr>
          <w:hyperlink w:anchor="_Toc440989136" w:history="1">
            <w:r w:rsidRPr="00C208F0">
              <w:rPr>
                <w:rStyle w:val="Hipercze"/>
                <w:noProof/>
                <w:lang w:val="pl-PL"/>
              </w:rPr>
              <w:t>5</w:t>
            </w:r>
            <w:r>
              <w:rPr>
                <w:noProof/>
                <w:lang w:val="pl-PL" w:eastAsia="pl-PL" w:bidi="ar-SA"/>
              </w:rPr>
              <w:tab/>
            </w:r>
            <w:r w:rsidRPr="00C208F0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D97" w:rsidRPr="00A65D97" w:rsidRDefault="00A65D97" w:rsidP="00A65D97">
          <w:pPr>
            <w:rPr>
              <w:lang w:val="pl-PL"/>
            </w:rPr>
          </w:pPr>
          <w:r w:rsidRPr="00A65D97">
            <w:rPr>
              <w:rFonts w:asciiTheme="majorHAnsi" w:hAnsiTheme="majorHAnsi"/>
              <w:b/>
              <w:bCs/>
              <w:lang w:val="pl-PL"/>
            </w:rPr>
            <w:fldChar w:fldCharType="end"/>
          </w:r>
        </w:p>
      </w:sdtContent>
    </w:sdt>
    <w:p w:rsidR="00A65D97" w:rsidRDefault="00A65D97" w:rsidP="00A65D97">
      <w:pPr>
        <w:rPr>
          <w:rStyle w:val="Nagwek2Znak"/>
          <w:sz w:val="36"/>
          <w:szCs w:val="36"/>
          <w:lang w:val="pl-PL"/>
        </w:rPr>
      </w:pPr>
      <w:r>
        <w:rPr>
          <w:rStyle w:val="Spistreci2"/>
          <w:b/>
          <w:bCs/>
          <w:smallCaps/>
          <w:sz w:val="36"/>
          <w:szCs w:val="36"/>
          <w:lang w:val="pl-PL"/>
        </w:rPr>
        <w:t xml:space="preserve"> </w:t>
      </w:r>
      <w:r>
        <w:rPr>
          <w:rStyle w:val="Nagwek2Znak"/>
          <w:b w:val="0"/>
          <w:bCs w:val="0"/>
          <w:smallCaps w:val="0"/>
          <w:sz w:val="36"/>
          <w:szCs w:val="36"/>
          <w:lang w:val="pl-PL"/>
        </w:rPr>
        <w:br w:type="page"/>
      </w:r>
    </w:p>
    <w:p w:rsidR="00A65D97" w:rsidRDefault="00A65D97">
      <w:pPr>
        <w:rPr>
          <w:rStyle w:val="Nagwek2Znak"/>
          <w:sz w:val="36"/>
          <w:szCs w:val="36"/>
          <w:lang w:val="pl-PL"/>
        </w:rPr>
      </w:pPr>
      <w:r>
        <w:rPr>
          <w:rStyle w:val="Nagwek2Znak"/>
          <w:b w:val="0"/>
          <w:bCs w:val="0"/>
          <w:smallCaps w:val="0"/>
          <w:sz w:val="36"/>
          <w:szCs w:val="36"/>
          <w:lang w:val="pl-PL"/>
        </w:rPr>
        <w:lastRenderedPageBreak/>
        <w:br w:type="page"/>
      </w:r>
    </w:p>
    <w:p w:rsidR="00071037" w:rsidRPr="00A65D97" w:rsidRDefault="00A3391D" w:rsidP="00A65D97">
      <w:pPr>
        <w:pStyle w:val="Nagwek1"/>
        <w:rPr>
          <w:lang w:val="pl-PL"/>
        </w:rPr>
      </w:pPr>
      <w:bookmarkStart w:id="0" w:name="_Toc440989129"/>
      <w:r w:rsidRPr="00A65D97">
        <w:rPr>
          <w:rStyle w:val="Nagwek2Znak"/>
          <w:b/>
          <w:bCs/>
          <w:smallCaps/>
          <w:sz w:val="36"/>
          <w:szCs w:val="36"/>
          <w:lang w:val="pl-PL"/>
        </w:rPr>
        <w:lastRenderedPageBreak/>
        <w:t>Wstęp</w:t>
      </w:r>
      <w:bookmarkEnd w:id="0"/>
    </w:p>
    <w:p w:rsidR="00857F61" w:rsidRPr="00A65D97" w:rsidRDefault="00305C57" w:rsidP="00A65D97">
      <w:pPr>
        <w:pStyle w:val="Standard"/>
        <w:ind w:firstLine="432"/>
        <w:rPr>
          <w:lang w:val="pl-PL"/>
        </w:rPr>
      </w:pPr>
      <w:r w:rsidRPr="00A65D97">
        <w:rPr>
          <w:lang w:val="pl-PL"/>
        </w:rPr>
        <w:t>Zazwyczaj do opisu badanego procesy używamy równań stanu w następującej postaci: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570"/>
      </w:tblGrid>
      <w:tr w:rsidR="00305C57" w:rsidRPr="00A65D97" w:rsidTr="0054196F"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C57" w:rsidRPr="00A65D97" w:rsidRDefault="00B61A57" w:rsidP="0054196F">
            <w:pPr>
              <w:pStyle w:val="TableContents"/>
              <w:jc w:val="center"/>
              <w:rPr>
                <w:lang w:val="pl-PL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=Ax+Bu</m:t>
                </m:r>
              </m:oMath>
            </m:oMathPara>
          </w:p>
        </w:tc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5C57" w:rsidRPr="00A65D97" w:rsidRDefault="00305C57" w:rsidP="0054196F">
            <w:pPr>
              <w:pStyle w:val="TableContents"/>
              <w:jc w:val="center"/>
              <w:rPr>
                <w:lang w:val="pl-PL"/>
              </w:rPr>
            </w:pPr>
            <w:r w:rsidRPr="00A65D97">
              <w:rPr>
                <w:lang w:val="pl-PL"/>
              </w:rPr>
              <w:t>1.1</w:t>
            </w:r>
          </w:p>
        </w:tc>
      </w:tr>
    </w:tbl>
    <w:p w:rsidR="00305C57" w:rsidRPr="00A65D97" w:rsidRDefault="00FE3B3E">
      <w:pPr>
        <w:pStyle w:val="Standard"/>
        <w:rPr>
          <w:lang w:val="pl-PL"/>
        </w:rPr>
      </w:pPr>
      <w:r w:rsidRPr="00A65D97">
        <w:rPr>
          <w:lang w:val="pl-PL"/>
        </w:rPr>
        <w:t xml:space="preserve">Niestety, dla znacznej większości procesów wyjście </w:t>
      </w:r>
      <w:r w:rsidRPr="00A65D97">
        <w:rPr>
          <w:i/>
          <w:lang w:val="pl-PL"/>
        </w:rPr>
        <w:t>y</w:t>
      </w:r>
      <w:r w:rsidRPr="00A65D97">
        <w:rPr>
          <w:lang w:val="pl-PL"/>
        </w:rPr>
        <w:t xml:space="preserve"> jest narażone na zakłócenia związane z szumem pomiarowym (</w:t>
      </w:r>
      <w:r w:rsidRPr="00A65D97">
        <w:rPr>
          <w:i/>
          <w:lang w:val="pl-PL"/>
        </w:rPr>
        <w:t>n</w:t>
      </w:r>
      <w:r w:rsidRPr="00A65D97">
        <w:rPr>
          <w:lang w:val="pl-PL"/>
        </w:rPr>
        <w:t>) a sama dynamika procesu narażona jest na zakłócenia (</w:t>
      </w:r>
      <w:r w:rsidRPr="00A65D97">
        <w:rPr>
          <w:i/>
          <w:lang w:val="pl-PL"/>
        </w:rPr>
        <w:t>d</w:t>
      </w:r>
      <w:r w:rsidRPr="00A65D97">
        <w:rPr>
          <w:lang w:val="pl-PL"/>
        </w:rPr>
        <w:t>). W takim wypadku proces jest opisany następującym układem równań: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570"/>
      </w:tblGrid>
      <w:tr w:rsidR="00FE3B3E" w:rsidRPr="00A65D97" w:rsidTr="0054196F"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B3E" w:rsidRPr="00A65D97" w:rsidRDefault="00B61A57" w:rsidP="0054196F">
            <w:pPr>
              <w:pStyle w:val="TableContents"/>
              <w:jc w:val="center"/>
              <w:rPr>
                <w:lang w:val="pl-PL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=Ax+Bu</m:t>
                </m:r>
              </m:oMath>
            </m:oMathPara>
          </w:p>
        </w:tc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3B3E" w:rsidRPr="00A65D97" w:rsidRDefault="00FE3B3E" w:rsidP="0054196F">
            <w:pPr>
              <w:pStyle w:val="TableContents"/>
              <w:jc w:val="center"/>
              <w:rPr>
                <w:lang w:val="pl-PL"/>
              </w:rPr>
            </w:pPr>
            <w:r w:rsidRPr="00A65D97">
              <w:rPr>
                <w:lang w:val="pl-PL"/>
              </w:rPr>
              <w:t>1.1</w:t>
            </w:r>
          </w:p>
        </w:tc>
      </w:tr>
    </w:tbl>
    <w:p w:rsidR="00465B3E" w:rsidRPr="00A65D97" w:rsidRDefault="00465B3E">
      <w:pPr>
        <w:pStyle w:val="Standard"/>
        <w:rPr>
          <w:lang w:val="pl-PL"/>
        </w:rPr>
      </w:pPr>
      <w:r w:rsidRPr="00A65D97">
        <w:rPr>
          <w:lang w:val="pl-PL"/>
        </w:rPr>
        <w:t xml:space="preserve">Natomiast korelacja szumu przedstawia się </w:t>
      </w:r>
      <w:r w:rsidR="00A65D97" w:rsidRPr="00A65D97">
        <w:rPr>
          <w:lang w:val="pl-PL"/>
        </w:rPr>
        <w:t>następująco</w:t>
      </w:r>
      <w:r w:rsidRPr="00A65D97">
        <w:rPr>
          <w:lang w:val="pl-PL"/>
        </w:rPr>
        <w:t>:</w:t>
      </w:r>
    </w:p>
    <w:p w:rsidR="00465B3E" w:rsidRPr="00A65D97" w:rsidRDefault="00465B3E" w:rsidP="00465B3E">
      <w:pPr>
        <w:pStyle w:val="TableContents"/>
        <w:rPr>
          <w:lang w:val="pl-PL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acc>
          <m:r>
            <w:rPr>
              <w:rFonts w:ascii="Cambria Math" w:hAnsi="Cambria Math"/>
              <w:lang w:val="pl-PL"/>
            </w:rPr>
            <m:t>=Ax+Bu</m:t>
          </m:r>
        </m:oMath>
      </m:oMathPara>
    </w:p>
    <w:p w:rsidR="00FE3B3E" w:rsidRPr="00A65D97" w:rsidRDefault="006F40D3">
      <w:pPr>
        <w:pStyle w:val="Standard"/>
        <w:rPr>
          <w:lang w:val="pl-PL"/>
        </w:rPr>
      </w:pPr>
      <w:r w:rsidRPr="00A65D97">
        <w:rPr>
          <w:lang w:val="pl-PL"/>
        </w:rPr>
        <w:t xml:space="preserve">Również w takim wypadku </w:t>
      </w:r>
      <w:r w:rsidR="00A227F2" w:rsidRPr="00A65D97">
        <w:rPr>
          <w:lang w:val="pl-PL"/>
        </w:rPr>
        <w:t>zwykły</w:t>
      </w:r>
      <w:r w:rsidRPr="00A65D97">
        <w:rPr>
          <w:lang w:val="pl-PL"/>
        </w:rPr>
        <w:t xml:space="preserve"> regula</w:t>
      </w:r>
      <w:r w:rsidR="00B71AAA" w:rsidRPr="00A65D97">
        <w:rPr>
          <w:lang w:val="pl-PL"/>
        </w:rPr>
        <w:t xml:space="preserve">tor może </w:t>
      </w:r>
      <w:r w:rsidR="006F2C28" w:rsidRPr="00A65D97">
        <w:rPr>
          <w:lang w:val="pl-PL"/>
        </w:rPr>
        <w:t>nie wystarczyć</w:t>
      </w:r>
      <w:r w:rsidR="00B71AAA" w:rsidRPr="00A65D97">
        <w:rPr>
          <w:lang w:val="pl-PL"/>
        </w:rPr>
        <w:t xml:space="preserve">. </w:t>
      </w:r>
      <w:r w:rsidR="00140ECA" w:rsidRPr="00A65D97">
        <w:rPr>
          <w:lang w:val="pl-PL"/>
        </w:rPr>
        <w:t xml:space="preserve">Wtedy </w:t>
      </w:r>
      <w:r w:rsidR="00B71AAA" w:rsidRPr="00A65D97">
        <w:rPr>
          <w:lang w:val="pl-PL"/>
        </w:rPr>
        <w:t>najlepszym wyborem jest zastosowanie regulatora LQG.</w:t>
      </w:r>
    </w:p>
    <w:p w:rsidR="00071037" w:rsidRPr="00A65D97" w:rsidRDefault="00A3391D" w:rsidP="00B33232">
      <w:pPr>
        <w:pStyle w:val="Standard"/>
        <w:ind w:firstLine="360"/>
        <w:rPr>
          <w:lang w:val="pl-PL"/>
        </w:rPr>
      </w:pPr>
      <w:r w:rsidRPr="00A65D97">
        <w:rPr>
          <w:lang w:val="pl-PL"/>
        </w:rPr>
        <w:t xml:space="preserve">Regulator LQG </w:t>
      </w:r>
      <w:r w:rsidR="00B33232" w:rsidRPr="00A65D97">
        <w:rPr>
          <w:lang w:val="pl-PL"/>
        </w:rPr>
        <w:t>(Linear-Quadratic-Gausian),</w:t>
      </w:r>
      <w:r w:rsidRPr="00A65D97">
        <w:rPr>
          <w:lang w:val="pl-PL"/>
        </w:rPr>
        <w:t xml:space="preserve"> to regulator działający w warunkach</w:t>
      </w:r>
      <w:r w:rsidR="00A756DF" w:rsidRPr="00A65D97">
        <w:rPr>
          <w:lang w:val="pl-PL"/>
        </w:rPr>
        <w:t>:</w:t>
      </w:r>
      <w:r w:rsidRPr="00A65D97">
        <w:rPr>
          <w:lang w:val="pl-PL"/>
        </w:rPr>
        <w:t xml:space="preserve"> niepewności, narażonych na zakłócenia </w:t>
      </w:r>
      <w:r w:rsidR="00A756DF" w:rsidRPr="00A65D97">
        <w:rPr>
          <w:lang w:val="pl-PL"/>
        </w:rPr>
        <w:t>addytywnym białym szumem Gaussa</w:t>
      </w:r>
      <w:r w:rsidR="00140ECA" w:rsidRPr="00A65D97">
        <w:rPr>
          <w:lang w:val="pl-PL"/>
        </w:rPr>
        <w:t>.</w:t>
      </w:r>
      <w:r w:rsidR="00A756DF" w:rsidRPr="00A65D97">
        <w:rPr>
          <w:lang w:val="pl-PL"/>
        </w:rPr>
        <w:t xml:space="preserve"> </w:t>
      </w:r>
      <w:r w:rsidR="00140ECA" w:rsidRPr="00A65D97">
        <w:rPr>
          <w:lang w:val="pl-PL"/>
        </w:rPr>
        <w:t>Składa się on</w:t>
      </w:r>
      <w:r w:rsidRPr="00A65D97">
        <w:rPr>
          <w:lang w:val="pl-PL"/>
        </w:rPr>
        <w:t xml:space="preserve"> z dwóch części: regulatora liniowo-kwadratowego (LQR), oraz filtru Kalmana:</w:t>
      </w:r>
    </w:p>
    <w:p w:rsidR="00071037" w:rsidRPr="00A65D97" w:rsidRDefault="00A3391D" w:rsidP="00E444BD">
      <w:pPr>
        <w:pStyle w:val="Standard"/>
        <w:numPr>
          <w:ilvl w:val="0"/>
          <w:numId w:val="5"/>
        </w:numPr>
        <w:rPr>
          <w:lang w:val="pl-PL"/>
        </w:rPr>
      </w:pPr>
      <w:r w:rsidRPr="00A65D97">
        <w:rPr>
          <w:lang w:val="pl-PL"/>
        </w:rPr>
        <w:t>Regulator Liniowo Kwadratowy (Linear-Quadratic Regulator) – to regulator ze sprzężeniem zwrotnym określający rozwiązanie dla problemu liniowo-kwadratowego (LQ), czyli dla przypadku, gdy układ dynamiczny jest opisany przy pomocy lini</w:t>
      </w:r>
      <w:r w:rsidR="00A227F2" w:rsidRPr="00A65D97">
        <w:rPr>
          <w:lang w:val="pl-PL"/>
        </w:rPr>
        <w:t xml:space="preserve">owych równań różniczkowych(1.1), </w:t>
      </w:r>
      <w:r w:rsidRPr="00A65D97">
        <w:rPr>
          <w:lang w:val="pl-PL"/>
        </w:rPr>
        <w:t>natomiast koszt opisany jest przez funkcjonał kwadratowy(1.2):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570"/>
      </w:tblGrid>
      <w:tr w:rsidR="00797E68" w:rsidRPr="00A65D97" w:rsidTr="0054196F"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E68" w:rsidRPr="00A65D97" w:rsidRDefault="00B61A57" w:rsidP="0054196F">
            <w:pPr>
              <w:pStyle w:val="TableContents"/>
              <w:jc w:val="center"/>
              <w:rPr>
                <w:lang w:val="pl-PL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=Ax+Bu</m:t>
                </m:r>
              </m:oMath>
            </m:oMathPara>
          </w:p>
        </w:tc>
        <w:tc>
          <w:tcPr>
            <w:tcW w:w="5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E68" w:rsidRPr="00A65D97" w:rsidRDefault="00797E68" w:rsidP="0054196F">
            <w:pPr>
              <w:pStyle w:val="TableContents"/>
              <w:jc w:val="center"/>
              <w:rPr>
                <w:lang w:val="pl-PL"/>
              </w:rPr>
            </w:pPr>
            <w:r w:rsidRPr="00A65D97">
              <w:rPr>
                <w:lang w:val="pl-PL"/>
              </w:rPr>
              <w:t>1.1</w:t>
            </w:r>
          </w:p>
        </w:tc>
      </w:tr>
    </w:tbl>
    <w:p w:rsidR="00071037" w:rsidRPr="00A65D97" w:rsidRDefault="00A3391D" w:rsidP="00E444BD">
      <w:pPr>
        <w:pStyle w:val="Standard"/>
        <w:numPr>
          <w:ilvl w:val="0"/>
          <w:numId w:val="5"/>
        </w:numPr>
        <w:rPr>
          <w:lang w:val="pl-PL"/>
        </w:rPr>
      </w:pPr>
      <w:r w:rsidRPr="00A65D97">
        <w:rPr>
          <w:lang w:val="pl-PL"/>
        </w:rPr>
        <w:t xml:space="preserve">Filtr Kalmana – jest to algorytm wyznaczania estymaty wektora stanu modelu liniowego dyskretnego układu dynamicznego na podstawie pomiarów wartości wejściowych oraz wyjściowych tego układu. Teoretycznie jest to estymator problemu liniowo-kwadratowego narażonego na </w:t>
      </w:r>
      <w:r w:rsidR="00E444BD" w:rsidRPr="00A65D97">
        <w:rPr>
          <w:lang w:val="pl-PL"/>
        </w:rPr>
        <w:t>zakłócenia</w:t>
      </w:r>
      <w:r w:rsidRPr="00A65D97">
        <w:rPr>
          <w:lang w:val="pl-PL"/>
        </w:rPr>
        <w:t xml:space="preserve"> wytworzone przez biały szum Gaussa.</w:t>
      </w:r>
    </w:p>
    <w:p w:rsidR="00EC3764" w:rsidRPr="00A65D97" w:rsidRDefault="00EC3764">
      <w:pPr>
        <w:rPr>
          <w:rStyle w:val="Nagwek2Znak"/>
          <w:bCs w:val="0"/>
          <w:color w:val="auto"/>
          <w:sz w:val="32"/>
          <w:lang w:val="pl-PL"/>
        </w:rPr>
      </w:pPr>
      <w:r w:rsidRPr="00A65D97">
        <w:rPr>
          <w:rStyle w:val="Nagwek2Znak"/>
          <w:b w:val="0"/>
          <w:color w:val="auto"/>
          <w:sz w:val="32"/>
          <w:lang w:val="pl-PL"/>
        </w:rPr>
        <w:br w:type="page"/>
      </w:r>
    </w:p>
    <w:p w:rsidR="00EC3764" w:rsidRPr="00A65D97" w:rsidRDefault="00EC3764">
      <w:pPr>
        <w:rPr>
          <w:rStyle w:val="Nagwek2Znak"/>
          <w:bCs w:val="0"/>
          <w:color w:val="auto"/>
          <w:sz w:val="32"/>
          <w:lang w:val="pl-PL"/>
        </w:rPr>
      </w:pPr>
      <w:r w:rsidRPr="00A65D97">
        <w:rPr>
          <w:rStyle w:val="Nagwek2Znak"/>
          <w:b w:val="0"/>
          <w:color w:val="auto"/>
          <w:sz w:val="32"/>
          <w:lang w:val="pl-PL"/>
        </w:rPr>
        <w:lastRenderedPageBreak/>
        <w:br w:type="page"/>
      </w:r>
    </w:p>
    <w:p w:rsidR="00071037" w:rsidRPr="00A65D97" w:rsidRDefault="00E444BD" w:rsidP="00A65D97">
      <w:pPr>
        <w:pStyle w:val="Nagwek1"/>
        <w:rPr>
          <w:rStyle w:val="Nagwek2Znak"/>
          <w:b/>
          <w:bCs/>
          <w:smallCaps/>
          <w:sz w:val="36"/>
          <w:szCs w:val="36"/>
          <w:lang w:val="pl-PL"/>
        </w:rPr>
      </w:pPr>
      <w:bookmarkStart w:id="1" w:name="_Toc440989130"/>
      <w:r w:rsidRPr="00A65D97">
        <w:rPr>
          <w:rStyle w:val="Nagwek2Znak"/>
          <w:b/>
          <w:bCs/>
          <w:smallCaps/>
          <w:sz w:val="36"/>
          <w:szCs w:val="36"/>
          <w:lang w:val="pl-PL"/>
        </w:rPr>
        <w:lastRenderedPageBreak/>
        <w:t>Synteza regulatora LQG</w:t>
      </w:r>
      <w:bookmarkEnd w:id="1"/>
    </w:p>
    <w:p w:rsidR="00465B3E" w:rsidRPr="00A65D97" w:rsidRDefault="00465B3E" w:rsidP="00A65D97">
      <w:pPr>
        <w:pStyle w:val="Nagwek2"/>
        <w:rPr>
          <w:lang w:val="pl-PL"/>
        </w:rPr>
      </w:pPr>
      <w:bookmarkStart w:id="2" w:name="_Toc440989131"/>
      <w:r w:rsidRPr="00A65D97">
        <w:rPr>
          <w:lang w:val="pl-PL"/>
        </w:rPr>
        <w:t>Synteza regulatora LQ</w:t>
      </w:r>
      <w:bookmarkEnd w:id="2"/>
    </w:p>
    <w:p w:rsidR="00071037" w:rsidRPr="00A65D97" w:rsidRDefault="00E444BD" w:rsidP="00E444BD">
      <w:pPr>
        <w:pStyle w:val="Textbody"/>
        <w:ind w:firstLine="360"/>
        <w:rPr>
          <w:lang w:val="pl-PL"/>
        </w:rPr>
      </w:pPr>
      <w:r w:rsidRPr="00A65D97">
        <w:rPr>
          <w:lang w:val="pl-PL"/>
        </w:rPr>
        <w:t>Pierwszym krokiem na drodze do utworzenia poprawnej syntezy regulatora LQG jest utworzenie regulatora LQ. Jak już było wspomniane regulator</w:t>
      </w:r>
      <w:r w:rsidR="004D0C35" w:rsidRPr="00A65D97">
        <w:rPr>
          <w:lang w:val="pl-PL"/>
        </w:rPr>
        <w:t xml:space="preserve"> LQ</w:t>
      </w:r>
      <w:r w:rsidRPr="00A65D97">
        <w:rPr>
          <w:lang w:val="pl-PL"/>
        </w:rPr>
        <w:t xml:space="preserve"> (…). Do wygenerowania wektora wzmocnień regulatora LQ wykorzystany został program MATLAB oraz dostępna w nim funkcja </w:t>
      </w:r>
      <w:r w:rsidRPr="00A65D97">
        <w:rPr>
          <w:i/>
          <w:lang w:val="pl-PL"/>
        </w:rPr>
        <w:t>lqr</w:t>
      </w:r>
      <w:r w:rsidRPr="00A65D97">
        <w:rPr>
          <w:lang w:val="pl-PL"/>
        </w:rPr>
        <w:t xml:space="preserve">. Funkcja ta jako </w:t>
      </w:r>
      <w:r w:rsidR="004D0C35" w:rsidRPr="00A65D97">
        <w:rPr>
          <w:lang w:val="pl-PL"/>
        </w:rPr>
        <w:t>parametry</w:t>
      </w:r>
      <w:r w:rsidRPr="00A65D97">
        <w:rPr>
          <w:lang w:val="pl-PL"/>
        </w:rPr>
        <w:t xml:space="preserve"> wejściowe przyjmuje badany system w postaci równań stanu, a także współczynniki Q i R. Zwraca </w:t>
      </w:r>
      <w:r w:rsidRPr="00A65D97">
        <w:rPr>
          <w:lang w:val="pl-PL"/>
        </w:rPr>
        <w:t>natomiast macierz wzmocnień</w:t>
      </w:r>
      <w:r w:rsidRPr="00A65D97">
        <w:rPr>
          <w:lang w:val="pl-PL"/>
        </w:rPr>
        <w:t xml:space="preserve"> regulatora</w:t>
      </w:r>
      <m:oMath>
        <m:r>
          <w:rPr>
            <w:rFonts w:ascii="Cambria Math" w:hAnsi="Cambria Math"/>
            <w:lang w:val="pl-PL"/>
          </w:rPr>
          <m:t>K</m:t>
        </m:r>
      </m:oMath>
      <w:r w:rsidRPr="00A65D97">
        <w:rPr>
          <w:lang w:val="pl-PL"/>
        </w:rPr>
        <w:t>, rozwiązanie równania Riccatiego, na podstawie którego osiągnięto wzmocnienie</w:t>
      </w:r>
      <w:r w:rsidR="00EC3764" w:rsidRPr="00A65D97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S</m:t>
        </m:r>
      </m:oMath>
      <w:r w:rsidRPr="00A65D97">
        <w:rPr>
          <w:lang w:val="pl-PL"/>
        </w:rPr>
        <w:t>, oraz wartości własne układu</w:t>
      </w:r>
      <w:r w:rsidR="00EC3764" w:rsidRPr="00A65D97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E</m:t>
        </m:r>
      </m:oMath>
      <w:r w:rsidRPr="00A65D97">
        <w:rPr>
          <w:lang w:val="pl-PL"/>
        </w:rPr>
        <w:t>.</w:t>
      </w:r>
      <w:r w:rsidRPr="00A65D97">
        <w:rPr>
          <w:lang w:val="pl-PL"/>
        </w:rPr>
        <w:t xml:space="preserve"> Kod programu MATLAB realizujący to zadanie dla każdego z problemów znajduje się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44BD" w:rsidRPr="00A65D97" w:rsidTr="00E444BD">
        <w:tc>
          <w:tcPr>
            <w:tcW w:w="9628" w:type="dxa"/>
          </w:tcPr>
          <w:p w:rsidR="00E444BD" w:rsidRPr="00A65D97" w:rsidRDefault="00E444BD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228B22"/>
                <w:sz w:val="20"/>
                <w:szCs w:val="20"/>
                <w:lang w:val="pl-PL" w:bidi="ar-SA"/>
              </w:rPr>
              <w:t>%Synteza regulatora LQ%</w:t>
            </w:r>
          </w:p>
          <w:p w:rsidR="00E444BD" w:rsidRPr="00A65D97" w:rsidRDefault="00E444BD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SYS = ss(A, B, C, D);</w:t>
            </w:r>
          </w:p>
          <w:p w:rsidR="00E444BD" w:rsidRPr="00A65D97" w:rsidRDefault="00E444BD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Gp=tf(SYS);</w:t>
            </w:r>
          </w:p>
          <w:p w:rsidR="00E444BD" w:rsidRPr="00A65D97" w:rsidRDefault="00E444BD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[K,S,E] = lqr(SYS,Q,R);</w:t>
            </w:r>
          </w:p>
        </w:tc>
      </w:tr>
    </w:tbl>
    <w:p w:rsidR="00465B3E" w:rsidRPr="00A65D97" w:rsidRDefault="00465B3E">
      <w:pPr>
        <w:rPr>
          <w:rFonts w:asciiTheme="majorHAnsi" w:eastAsiaTheme="majorEastAsia" w:hAnsiTheme="majorHAnsi" w:cstheme="majorBidi"/>
          <w:color w:val="1F4D78" w:themeColor="accent1" w:themeShade="7F"/>
          <w:lang w:val="pl-PL"/>
        </w:rPr>
      </w:pPr>
    </w:p>
    <w:p w:rsidR="00465B3E" w:rsidRPr="00A65D97" w:rsidRDefault="00465B3E" w:rsidP="00A65D97">
      <w:pPr>
        <w:pStyle w:val="Nagwek2"/>
        <w:rPr>
          <w:lang w:val="pl-PL"/>
        </w:rPr>
      </w:pPr>
      <w:bookmarkStart w:id="3" w:name="_Toc440989132"/>
      <w:r w:rsidRPr="00A65D97">
        <w:rPr>
          <w:lang w:val="pl-PL"/>
        </w:rPr>
        <w:t>Synteza filtru Kalmana</w:t>
      </w:r>
      <w:bookmarkEnd w:id="3"/>
    </w:p>
    <w:p w:rsidR="002D649E" w:rsidRPr="00A65D97" w:rsidRDefault="00E444BD" w:rsidP="002D649E">
      <w:pPr>
        <w:pStyle w:val="Textbody"/>
        <w:ind w:firstLine="360"/>
        <w:rPr>
          <w:lang w:val="pl-PL"/>
        </w:rPr>
      </w:pPr>
      <w:r w:rsidRPr="00A65D97">
        <w:rPr>
          <w:lang w:val="pl-PL"/>
        </w:rPr>
        <w:t>Kolejnym zadaniem była</w:t>
      </w:r>
      <w:r w:rsidR="004D0C35" w:rsidRPr="00A65D97">
        <w:rPr>
          <w:lang w:val="pl-PL"/>
        </w:rPr>
        <w:t xml:space="preserve"> synteza filtru Kalmana. Jak już wcześniej wspomniano filtr Kalmana (…). Do wygenerowania estymaty stanu również wykorzystany został program MATLAB oraz dostępna w nim funkcja </w:t>
      </w:r>
      <w:r w:rsidR="004D0C35" w:rsidRPr="00A65D97">
        <w:rPr>
          <w:i/>
          <w:lang w:val="pl-PL"/>
        </w:rPr>
        <w:t>Kalman</w:t>
      </w:r>
      <w:r w:rsidR="004D0C35" w:rsidRPr="00A65D97">
        <w:rPr>
          <w:lang w:val="pl-PL"/>
        </w:rPr>
        <w:t xml:space="preserve">. Funkcja ta jako parametry wejściowe </w:t>
      </w:r>
      <w:r w:rsidR="004D0C35" w:rsidRPr="00A65D97">
        <w:rPr>
          <w:lang w:val="pl-PL"/>
        </w:rPr>
        <w:t xml:space="preserve">pobiera układ obserwatora w postaci </w:t>
      </w:r>
      <w:r w:rsidR="004D0C35" w:rsidRPr="00A65D97">
        <w:rPr>
          <w:i/>
          <w:iCs/>
          <w:lang w:val="pl-PL"/>
        </w:rPr>
        <w:t>równań stanu</w:t>
      </w:r>
      <w:r w:rsidR="004D0C35" w:rsidRPr="00A65D97">
        <w:rPr>
          <w:lang w:val="pl-PL"/>
        </w:rPr>
        <w:t xml:space="preserve">, oraz macierze wartości oczekiwanych szumów </w:t>
      </w:r>
      <w:r w:rsidR="004D0C35" w:rsidRPr="00A65D97">
        <w:rPr>
          <w:lang w:val="pl-PL"/>
        </w:rPr>
        <w:t>pomiarowych</w:t>
      </w:r>
      <w:r w:rsidR="004D0C35" w:rsidRPr="00A65D97">
        <w:rPr>
          <w:lang w:val="pl-PL"/>
        </w:rPr>
        <w:t xml:space="preserve"> i zakłócenia. Zwraca natomiast </w:t>
      </w:r>
      <w:r w:rsidR="00EC3764" w:rsidRPr="00A65D97">
        <w:rPr>
          <w:lang w:val="pl-PL"/>
        </w:rPr>
        <w:t xml:space="preserve">model równań stanu estymatora </w:t>
      </w:r>
      <m:oMath>
        <m:r>
          <w:rPr>
            <w:rFonts w:ascii="Cambria Math" w:hAnsi="Cambria Math"/>
            <w:lang w:val="pl-PL"/>
          </w:rPr>
          <m:t>est</m:t>
        </m:r>
      </m:oMath>
      <w:r w:rsidR="004D0C35" w:rsidRPr="00A65D97">
        <w:rPr>
          <w:lang w:val="pl-PL"/>
        </w:rPr>
        <w:t xml:space="preserve">, </w:t>
      </w:r>
      <w:r w:rsidR="00EC3764" w:rsidRPr="00A65D97">
        <w:rPr>
          <w:lang w:val="pl-PL"/>
        </w:rPr>
        <w:t xml:space="preserve">optymalne </w:t>
      </w:r>
      <w:r w:rsidR="004D0C35" w:rsidRPr="00A65D97">
        <w:rPr>
          <w:lang w:val="pl-PL"/>
        </w:rPr>
        <w:t>wzmocnienie estymatora</w:t>
      </w:r>
      <w:r w:rsidR="00EC3764" w:rsidRPr="00A65D97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L</m:t>
        </m:r>
      </m:oMath>
      <w:r w:rsidR="004D0C35" w:rsidRPr="00A65D97">
        <w:rPr>
          <w:lang w:val="pl-PL"/>
        </w:rPr>
        <w:t xml:space="preserve"> oraz obliczony z równania Riccatiego błąd w stanie ustalonym</w:t>
      </w:r>
      <w:r w:rsidR="00EC3764" w:rsidRPr="00A65D97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</m:t>
        </m:r>
      </m:oMath>
      <w:r w:rsidR="004D0C35" w:rsidRPr="00A65D97">
        <w:rPr>
          <w:lang w:val="pl-PL"/>
        </w:rPr>
        <w:t>.</w:t>
      </w:r>
      <w:r w:rsidR="00465B3E" w:rsidRPr="00A65D97">
        <w:rPr>
          <w:lang w:val="pl-PL"/>
        </w:rPr>
        <w:t xml:space="preserve"> </w:t>
      </w:r>
      <w:r w:rsidR="002D649E" w:rsidRPr="00A65D97">
        <w:rPr>
          <w:lang w:val="pl-PL"/>
        </w:rPr>
        <w:t>Kod programu MATLAB realizujący to zadanie dla każdego z problemów znajduje się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649E" w:rsidRPr="00A65D97" w:rsidTr="00C06D2B">
        <w:tc>
          <w:tcPr>
            <w:tcW w:w="9628" w:type="dxa"/>
          </w:tcPr>
          <w:p w:rsidR="002D649E" w:rsidRPr="00A65D97" w:rsidRDefault="002D649E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228B22"/>
                <w:sz w:val="20"/>
                <w:szCs w:val="20"/>
                <w:lang w:val="pl-PL" w:bidi="ar-SA"/>
              </w:rPr>
              <w:t>%Synteza filtru Kalmana%</w:t>
            </w:r>
          </w:p>
          <w:p w:rsidR="002D649E" w:rsidRPr="00A65D97" w:rsidRDefault="002D649E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sys=ss(A,[B Noise_Gain*BB],C,0);</w:t>
            </w:r>
          </w:p>
          <w:p w:rsidR="002D649E" w:rsidRPr="00A65D97" w:rsidRDefault="002D649E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[est,L,P]=kalman(sys,QN,RN);</w:t>
            </w:r>
          </w:p>
        </w:tc>
      </w:tr>
    </w:tbl>
    <w:p w:rsidR="002D649E" w:rsidRPr="00A65D97" w:rsidRDefault="002D649E" w:rsidP="002D649E">
      <w:pPr>
        <w:rPr>
          <w:lang w:val="pl-PL"/>
        </w:rPr>
      </w:pPr>
    </w:p>
    <w:p w:rsidR="002D649E" w:rsidRPr="00A65D97" w:rsidRDefault="002D649E" w:rsidP="00A65D97">
      <w:pPr>
        <w:pStyle w:val="Nagwek2"/>
        <w:rPr>
          <w:rFonts w:asciiTheme="minorHAnsi" w:hAnsiTheme="minorHAnsi"/>
          <w:lang w:val="pl-PL"/>
        </w:rPr>
      </w:pPr>
      <w:bookmarkStart w:id="4" w:name="_Toc440989133"/>
      <w:r w:rsidRPr="00A65D97">
        <w:rPr>
          <w:lang w:val="pl-PL"/>
        </w:rPr>
        <w:t>Synteza regulatora LQG</w:t>
      </w:r>
      <w:bookmarkEnd w:id="4"/>
    </w:p>
    <w:p w:rsidR="002D649E" w:rsidRPr="00A65D97" w:rsidRDefault="002D649E" w:rsidP="007E652D">
      <w:pPr>
        <w:spacing w:after="240"/>
        <w:ind w:firstLine="360"/>
        <w:jc w:val="both"/>
        <w:rPr>
          <w:lang w:val="pl-PL"/>
        </w:rPr>
      </w:pPr>
      <w:r w:rsidRPr="00A65D97">
        <w:rPr>
          <w:lang w:val="pl-PL"/>
        </w:rPr>
        <w:t xml:space="preserve">Ostatnim krokiem była końcowa synteza </w:t>
      </w:r>
      <w:r w:rsidR="007E652D" w:rsidRPr="00A65D97">
        <w:rPr>
          <w:lang w:val="pl-PL"/>
        </w:rPr>
        <w:t>r</w:t>
      </w:r>
      <w:r w:rsidRPr="00A65D97">
        <w:rPr>
          <w:lang w:val="pl-PL"/>
        </w:rPr>
        <w:t>egulatora LQG</w:t>
      </w:r>
      <w:r w:rsidR="007E652D" w:rsidRPr="00A65D97">
        <w:rPr>
          <w:lang w:val="pl-PL"/>
        </w:rPr>
        <w:t xml:space="preserve">. Regulator ten możemy uzyskać używając stanu estymowanego </w:t>
      </w:r>
      <m:oMath>
        <m:acc>
          <m:accPr>
            <m:ctrlPr>
              <w:rPr>
                <w:rFonts w:ascii="Cambria Math" w:eastAsia="Andale Sans UI" w:hAnsi="Cambria Math" w:cs="Tahoma"/>
                <w:i/>
                <w:kern w:val="3"/>
                <w:sz w:val="24"/>
                <w:szCs w:val="24"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</m:oMath>
      <w:r w:rsidR="007E652D" w:rsidRPr="00A65D97">
        <w:rPr>
          <w:lang w:val="pl-PL"/>
        </w:rPr>
        <w:t xml:space="preserve"> zamiast prawdziwego stanu </w:t>
      </w:r>
      <m:oMath>
        <m:r>
          <w:rPr>
            <w:rFonts w:ascii="Cambria Math" w:hAnsi="Cambria Math"/>
            <w:lang w:val="pl-PL"/>
          </w:rPr>
          <m:t>x</m:t>
        </m:r>
      </m:oMath>
      <w:r w:rsidR="007E652D" w:rsidRPr="00A65D97">
        <w:rPr>
          <w:lang w:val="pl-PL"/>
        </w:rPr>
        <w:t>. Równanie stanu takiego regulatora wygląda następująco: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701"/>
      </w:tblGrid>
      <w:tr w:rsidR="007E652D" w:rsidRPr="00A65D97" w:rsidTr="007E652D">
        <w:tc>
          <w:tcPr>
            <w:tcW w:w="8927" w:type="dxa"/>
          </w:tcPr>
          <w:p w:rsidR="007E652D" w:rsidRPr="00A65D97" w:rsidRDefault="007E652D" w:rsidP="007E652D">
            <w:pPr>
              <w:rPr>
                <w:lang w:val="pl-P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Andale Sans UI" w:hAnsi="Cambria Math" w:cs="Tahoma"/>
                        <w:i/>
                        <w:kern w:val="3"/>
                        <w:sz w:val="24"/>
                        <w:szCs w:val="24"/>
                        <w:lang w:val="pl-PL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="Andale Sans UI" w:hAnsi="Cambria Math" w:cs="Tahoma"/>
                            <w:i/>
                            <w:kern w:val="3"/>
                            <w:sz w:val="24"/>
                            <w:szCs w:val="24"/>
                            <w:lang w:val="pl-P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x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pl-PL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A-LC-BK</m:t>
                    </m:r>
                  </m:e>
                </m:d>
                <m:acc>
                  <m:accPr>
                    <m:ctrlPr>
                      <w:rPr>
                        <w:rFonts w:ascii="Cambria Math" w:eastAsia="Andale Sans UI" w:hAnsi="Cambria Math" w:cs="Tahoma"/>
                        <w:i/>
                        <w:kern w:val="3"/>
                        <w:sz w:val="24"/>
                        <w:szCs w:val="24"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+Ly</m:t>
                </m:r>
              </m:oMath>
            </m:oMathPara>
          </w:p>
          <w:p w:rsidR="007E652D" w:rsidRPr="00A65D97" w:rsidRDefault="007E652D" w:rsidP="007E652D">
            <w:pPr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u=K</m:t>
                </m:r>
              </m:oMath>
            </m:oMathPara>
          </w:p>
        </w:tc>
        <w:tc>
          <w:tcPr>
            <w:tcW w:w="701" w:type="dxa"/>
          </w:tcPr>
          <w:p w:rsidR="007E652D" w:rsidRPr="00A65D97" w:rsidRDefault="007E652D" w:rsidP="007E652D">
            <w:pPr>
              <w:rPr>
                <w:lang w:val="pl-PL"/>
              </w:rPr>
            </w:pPr>
            <w:r w:rsidRPr="00A65D97">
              <w:rPr>
                <w:lang w:val="pl-PL"/>
              </w:rPr>
              <w:t>2.3.1</w:t>
            </w:r>
          </w:p>
        </w:tc>
      </w:tr>
    </w:tbl>
    <w:p w:rsidR="00EC3764" w:rsidRPr="00A65D97" w:rsidRDefault="00EC3764" w:rsidP="00EC3764">
      <w:pPr>
        <w:pStyle w:val="Textbody"/>
        <w:ind w:firstLine="360"/>
        <w:rPr>
          <w:lang w:val="pl-PL"/>
        </w:rPr>
      </w:pPr>
      <w:r w:rsidRPr="00A65D97">
        <w:rPr>
          <w:lang w:val="pl-PL"/>
        </w:rPr>
        <w:t xml:space="preserve">Również i tutaj pomocny okazał się program MATLAB, w którym dostępna jest specjalna funkcja </w:t>
      </w:r>
      <m:oMath>
        <m:r>
          <w:rPr>
            <w:rFonts w:ascii="Cambria Math" w:hAnsi="Cambria Math"/>
            <w:lang w:val="pl-PL"/>
          </w:rPr>
          <m:t>reg</m:t>
        </m:r>
      </m:oMath>
      <w:r w:rsidRPr="00A65D97">
        <w:rPr>
          <w:lang w:val="pl-PL"/>
        </w:rPr>
        <w:t xml:space="preserve">. Funkcja ta jako parametry wejściowe przyjmuje równania stanu obiektu, macierz wzmocnień regulatora LQ, oraz optymalne wzmocnienie estymatora. Zwraca natomiast równania stanu regulatora LQG gotowe do użycia. </w:t>
      </w:r>
      <w:r w:rsidRPr="00A65D97">
        <w:rPr>
          <w:lang w:val="pl-PL"/>
        </w:rPr>
        <w:t>Kod programu MATLAB realizujący to zadanie dla każdego z problemów znajduje się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3764" w:rsidRPr="00A65D97" w:rsidTr="00C06D2B">
        <w:tc>
          <w:tcPr>
            <w:tcW w:w="9628" w:type="dxa"/>
          </w:tcPr>
          <w:p w:rsidR="00EC3764" w:rsidRPr="00A65D97" w:rsidRDefault="00EC3764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228B22"/>
                <w:sz w:val="20"/>
                <w:szCs w:val="20"/>
                <w:lang w:val="pl-PL" w:bidi="ar-SA"/>
              </w:rPr>
              <w:t>%Synteza regulatora LQG%</w:t>
            </w:r>
          </w:p>
          <w:p w:rsidR="00EC3764" w:rsidRPr="00A65D97" w:rsidRDefault="00EC3764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RSYS=reg(SYS,K,L);</w:t>
            </w:r>
          </w:p>
          <w:p w:rsidR="00EC3764" w:rsidRPr="00A65D97" w:rsidRDefault="00EC3764" w:rsidP="00A65D97">
            <w:pPr>
              <w:autoSpaceDE w:val="0"/>
              <w:adjustRightInd w:val="0"/>
              <w:spacing w:after="0" w:line="276" w:lineRule="auto"/>
              <w:rPr>
                <w:rFonts w:ascii="Courier New" w:hAnsi="Courier New" w:cs="Courier New"/>
                <w:lang w:val="pl-PL" w:bidi="ar-SA"/>
              </w:rPr>
            </w:pPr>
            <w:r w:rsidRPr="00A65D97">
              <w:rPr>
                <w:rFonts w:ascii="Courier New" w:hAnsi="Courier New" w:cs="Courier New"/>
                <w:color w:val="000000"/>
                <w:sz w:val="20"/>
                <w:szCs w:val="20"/>
                <w:lang w:val="pl-PL" w:bidi="ar-SA"/>
              </w:rPr>
              <w:t>Gr=tf(RSYS);</w:t>
            </w:r>
          </w:p>
        </w:tc>
      </w:tr>
    </w:tbl>
    <w:p w:rsidR="009252DE" w:rsidRPr="00A65D97" w:rsidRDefault="009252DE" w:rsidP="00EC3764">
      <w:pPr>
        <w:rPr>
          <w:lang w:val="pl-PL"/>
        </w:rPr>
      </w:pPr>
    </w:p>
    <w:p w:rsidR="00EC3764" w:rsidRPr="00A65D97" w:rsidRDefault="00EC3764">
      <w:pPr>
        <w:rPr>
          <w:lang w:val="pl-PL"/>
        </w:rPr>
      </w:pPr>
      <w:r w:rsidRPr="00A65D97">
        <w:rPr>
          <w:lang w:val="pl-PL"/>
        </w:rPr>
        <w:br w:type="page"/>
      </w:r>
    </w:p>
    <w:p w:rsidR="009252DE" w:rsidRDefault="009252D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l-PL"/>
        </w:rPr>
      </w:pPr>
      <w:bookmarkStart w:id="5" w:name="_Toc440989134"/>
      <w:r>
        <w:rPr>
          <w:lang w:val="pl-PL"/>
        </w:rPr>
        <w:lastRenderedPageBreak/>
        <w:br w:type="page"/>
      </w:r>
    </w:p>
    <w:p w:rsidR="007E652D" w:rsidRPr="00A65D97" w:rsidRDefault="00EC3764" w:rsidP="00A65D97">
      <w:pPr>
        <w:pStyle w:val="Nagwek1"/>
        <w:rPr>
          <w:lang w:val="pl-PL"/>
        </w:rPr>
      </w:pPr>
      <w:r w:rsidRPr="00A65D97">
        <w:rPr>
          <w:lang w:val="pl-PL"/>
        </w:rPr>
        <w:lastRenderedPageBreak/>
        <w:t>Tworzenie modelu układu</w:t>
      </w:r>
      <w:bookmarkEnd w:id="5"/>
    </w:p>
    <w:p w:rsidR="00465B3E" w:rsidRDefault="009252DE" w:rsidP="009252DE">
      <w:pPr>
        <w:pStyle w:val="Textbody"/>
        <w:ind w:firstLine="432"/>
        <w:rPr>
          <w:lang w:val="pl-PL"/>
        </w:rPr>
      </w:pPr>
      <w:r>
        <w:rPr>
          <w:lang w:val="pl-PL"/>
        </w:rPr>
        <w:t xml:space="preserve">Po wygenerowaniu równań stanu regulatora LQG możliwa jest implementacja całego układu, na który składa się ów regulatora oraz badany obiekt. Schemat blokowy </w:t>
      </w:r>
      <w:r w:rsidR="003F2DE4">
        <w:rPr>
          <w:lang w:val="pl-PL"/>
        </w:rPr>
        <w:t xml:space="preserve">takiego </w:t>
      </w:r>
      <w:r>
        <w:rPr>
          <w:lang w:val="pl-PL"/>
        </w:rPr>
        <w:t>układu znajduje się na poniższym rysunku (Rys. 3.1):</w:t>
      </w:r>
    </w:p>
    <w:p w:rsidR="009252DE" w:rsidRPr="00A65D97" w:rsidRDefault="009252DE" w:rsidP="009252DE">
      <w:pPr>
        <w:pStyle w:val="Textbody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143625" cy="1743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B2" w:rsidRDefault="009252DE" w:rsidP="006B23B2">
      <w:pPr>
        <w:jc w:val="both"/>
        <w:rPr>
          <w:lang w:val="pl-PL"/>
        </w:rPr>
      </w:pPr>
      <w:r>
        <w:rPr>
          <w:lang w:val="pl-PL"/>
        </w:rPr>
        <w:t>By zaimplementować i przetestować</w:t>
      </w:r>
      <w:r w:rsidR="006B23B2">
        <w:rPr>
          <w:lang w:val="pl-PL"/>
        </w:rPr>
        <w:t xml:space="preserve"> powyższy model</w:t>
      </w:r>
      <w:r>
        <w:rPr>
          <w:lang w:val="pl-PL"/>
        </w:rPr>
        <w:t xml:space="preserve"> użyty został pakiet Simulink programu MATLAB. </w:t>
      </w:r>
      <w:r w:rsidR="006B23B2">
        <w:rPr>
          <w:lang w:val="pl-PL"/>
        </w:rPr>
        <w:t xml:space="preserve">W pakiecie tym przy pomocy bloków: </w:t>
      </w:r>
      <w:r w:rsidR="006B23B2">
        <w:rPr>
          <w:i/>
          <w:lang w:val="pl-PL"/>
        </w:rPr>
        <w:t>S</w:t>
      </w:r>
      <w:r w:rsidR="003F2DE4">
        <w:rPr>
          <w:i/>
          <w:lang w:val="pl-PL"/>
        </w:rPr>
        <w:t>tate-S</w:t>
      </w:r>
      <w:r w:rsidR="006B23B2">
        <w:rPr>
          <w:i/>
          <w:lang w:val="pl-PL"/>
        </w:rPr>
        <w:t xml:space="preserve">pace, Random </w:t>
      </w:r>
      <w:r w:rsidR="003F2DE4">
        <w:rPr>
          <w:i/>
          <w:lang w:val="pl-PL"/>
        </w:rPr>
        <w:t>N</w:t>
      </w:r>
      <w:r w:rsidR="006B23B2">
        <w:rPr>
          <w:i/>
          <w:lang w:val="pl-PL"/>
        </w:rPr>
        <w:t>um</w:t>
      </w:r>
      <w:r w:rsidR="003F2DE4">
        <w:rPr>
          <w:i/>
          <w:lang w:val="pl-PL"/>
        </w:rPr>
        <w:t>b</w:t>
      </w:r>
      <w:r w:rsidR="006B23B2">
        <w:rPr>
          <w:i/>
          <w:lang w:val="pl-PL"/>
        </w:rPr>
        <w:t xml:space="preserve">er, Add </w:t>
      </w:r>
      <w:r w:rsidR="006B23B2">
        <w:rPr>
          <w:lang w:val="pl-PL"/>
        </w:rPr>
        <w:t>i</w:t>
      </w:r>
      <w:r w:rsidR="006B23B2">
        <w:rPr>
          <w:i/>
          <w:lang w:val="pl-PL"/>
        </w:rPr>
        <w:t xml:space="preserve"> Scope</w:t>
      </w:r>
      <w:r w:rsidR="006B23B2">
        <w:rPr>
          <w:lang w:val="pl-PL"/>
        </w:rPr>
        <w:t xml:space="preserve"> zbudowany został model układu znajdujący się na Rys. 3.1 wraz z zakłóceniami. Model ten znajduje się na poniższym rysunku (Rys. 3.2):</w:t>
      </w:r>
    </w:p>
    <w:p w:rsidR="00465B3E" w:rsidRPr="00A65D97" w:rsidRDefault="00A81FDD" w:rsidP="006B23B2">
      <w:pPr>
        <w:jc w:val="both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5D93CF71" wp14:editId="5DE14F91">
            <wp:extent cx="6120130" cy="34328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 w:rsidR="006B23B2" w:rsidRPr="00A65D97">
        <w:rPr>
          <w:lang w:val="pl-PL"/>
        </w:rPr>
        <w:t xml:space="preserve"> </w:t>
      </w:r>
      <w:r w:rsidR="00465B3E" w:rsidRPr="00A65D97">
        <w:rPr>
          <w:lang w:val="pl-PL"/>
        </w:rPr>
        <w:br w:type="page"/>
      </w:r>
    </w:p>
    <w:p w:rsidR="00465B3E" w:rsidRPr="00A65D97" w:rsidRDefault="00465B3E" w:rsidP="00A65D97">
      <w:pPr>
        <w:pStyle w:val="Nagwek1"/>
        <w:rPr>
          <w:lang w:val="pl-PL"/>
        </w:rPr>
      </w:pPr>
      <w:bookmarkStart w:id="7" w:name="_Toc440989135"/>
      <w:r w:rsidRPr="00A65D97">
        <w:rPr>
          <w:lang w:val="pl-PL"/>
        </w:rPr>
        <w:lastRenderedPageBreak/>
        <w:t>Testy</w:t>
      </w:r>
      <w:bookmarkEnd w:id="7"/>
    </w:p>
    <w:p w:rsidR="00465B3E" w:rsidRPr="00A65D97" w:rsidRDefault="00465B3E">
      <w:pPr>
        <w:rPr>
          <w:rFonts w:asciiTheme="majorHAnsi" w:eastAsiaTheme="majorEastAsia" w:hAnsiTheme="majorHAnsi" w:cstheme="majorBidi"/>
          <w:sz w:val="32"/>
          <w:szCs w:val="26"/>
          <w:lang w:val="pl-PL"/>
        </w:rPr>
      </w:pPr>
      <w:r w:rsidRPr="00A65D97">
        <w:rPr>
          <w:sz w:val="32"/>
          <w:lang w:val="pl-PL"/>
        </w:rPr>
        <w:br w:type="page"/>
      </w:r>
    </w:p>
    <w:p w:rsidR="00071037" w:rsidRPr="00A65D97" w:rsidRDefault="00465B3E" w:rsidP="00A65D97">
      <w:pPr>
        <w:pStyle w:val="Nagwek1"/>
        <w:rPr>
          <w:lang w:val="pl-PL"/>
        </w:rPr>
      </w:pPr>
      <w:bookmarkStart w:id="8" w:name="_Toc440989136"/>
      <w:r w:rsidRPr="00A65D97">
        <w:rPr>
          <w:lang w:val="pl-PL"/>
        </w:rPr>
        <w:lastRenderedPageBreak/>
        <w:t>Wnioski</w:t>
      </w:r>
      <w:bookmarkEnd w:id="8"/>
    </w:p>
    <w:sectPr w:rsidR="00071037" w:rsidRPr="00A65D97" w:rsidSect="00EC3764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57" w:rsidRDefault="00B61A57">
      <w:r>
        <w:separator/>
      </w:r>
    </w:p>
  </w:endnote>
  <w:endnote w:type="continuationSeparator" w:id="0">
    <w:p w:rsidR="00B61A57" w:rsidRDefault="00B6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286950"/>
      <w:docPartObj>
        <w:docPartGallery w:val="Page Numbers (Bottom of Page)"/>
        <w:docPartUnique/>
      </w:docPartObj>
    </w:sdtPr>
    <w:sdtContent>
      <w:p w:rsidR="00EC3764" w:rsidRDefault="00EC376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FDD" w:rsidRPr="00A81FDD">
          <w:rPr>
            <w:noProof/>
            <w:lang w:val="pl-PL"/>
          </w:rPr>
          <w:t>11</w:t>
        </w:r>
        <w:r>
          <w:fldChar w:fldCharType="end"/>
        </w:r>
      </w:p>
    </w:sdtContent>
  </w:sdt>
  <w:p w:rsidR="00EC3764" w:rsidRDefault="00EC3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57" w:rsidRDefault="00B61A57">
      <w:r>
        <w:rPr>
          <w:color w:val="000000"/>
        </w:rPr>
        <w:separator/>
      </w:r>
    </w:p>
  </w:footnote>
  <w:footnote w:type="continuationSeparator" w:id="0">
    <w:p w:rsidR="00B61A57" w:rsidRDefault="00B6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188A9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46F56"/>
    <w:multiLevelType w:val="hybridMultilevel"/>
    <w:tmpl w:val="3E802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30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664F8"/>
    <w:multiLevelType w:val="hybridMultilevel"/>
    <w:tmpl w:val="7638D9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D3904"/>
    <w:multiLevelType w:val="hybridMultilevel"/>
    <w:tmpl w:val="31168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81B8C"/>
    <w:multiLevelType w:val="multilevel"/>
    <w:tmpl w:val="E26033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927253E"/>
    <w:multiLevelType w:val="hybridMultilevel"/>
    <w:tmpl w:val="C9DCAD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37"/>
    <w:rsid w:val="00071037"/>
    <w:rsid w:val="00080B51"/>
    <w:rsid w:val="00140ECA"/>
    <w:rsid w:val="001C1D8E"/>
    <w:rsid w:val="002D649E"/>
    <w:rsid w:val="00305C57"/>
    <w:rsid w:val="003F2DE4"/>
    <w:rsid w:val="00465B3E"/>
    <w:rsid w:val="004D0C35"/>
    <w:rsid w:val="006B23B2"/>
    <w:rsid w:val="006F2C28"/>
    <w:rsid w:val="006F40D3"/>
    <w:rsid w:val="00797E68"/>
    <w:rsid w:val="007E3E1A"/>
    <w:rsid w:val="007E652D"/>
    <w:rsid w:val="00814054"/>
    <w:rsid w:val="00857F61"/>
    <w:rsid w:val="009252DE"/>
    <w:rsid w:val="009C218A"/>
    <w:rsid w:val="00A227F2"/>
    <w:rsid w:val="00A3391D"/>
    <w:rsid w:val="00A65D97"/>
    <w:rsid w:val="00A756DF"/>
    <w:rsid w:val="00A81FDD"/>
    <w:rsid w:val="00B33232"/>
    <w:rsid w:val="00B452E8"/>
    <w:rsid w:val="00B61A57"/>
    <w:rsid w:val="00B71AAA"/>
    <w:rsid w:val="00B9355A"/>
    <w:rsid w:val="00E444BD"/>
    <w:rsid w:val="00EC3764"/>
    <w:rsid w:val="00F9402C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A72F"/>
  <w15:docId w15:val="{4CE16AB5-3401-48E8-A445-4FEE5D9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3764"/>
  </w:style>
  <w:style w:type="paragraph" w:styleId="Nagwek1">
    <w:name w:val="heading 1"/>
    <w:basedOn w:val="Normalny"/>
    <w:next w:val="Normalny"/>
    <w:link w:val="Nagwek1Znak"/>
    <w:uiPriority w:val="9"/>
    <w:qFormat/>
    <w:rsid w:val="00EC376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376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376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376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376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376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376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376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376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pacing w:before="114" w:after="114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</w:style>
  <w:style w:type="paragraph" w:styleId="Legenda">
    <w:name w:val="caption"/>
    <w:basedOn w:val="Normalny"/>
    <w:next w:val="Normalny"/>
    <w:uiPriority w:val="35"/>
    <w:unhideWhenUsed/>
    <w:qFormat/>
    <w:rsid w:val="00EC3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ytu">
    <w:name w:val="Title"/>
    <w:basedOn w:val="Normalny"/>
    <w:next w:val="Normalny"/>
    <w:link w:val="TytuZnak"/>
    <w:uiPriority w:val="10"/>
    <w:qFormat/>
    <w:rsid w:val="00EC37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Rys">
    <w:name w:val="Rys."/>
    <w:basedOn w:val="Legenda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C37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37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452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452E8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44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EC376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kapitzlist">
    <w:name w:val="List Paragraph"/>
    <w:basedOn w:val="Normalny"/>
    <w:uiPriority w:val="34"/>
    <w:qFormat/>
    <w:rsid w:val="00465B3E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465B3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465B3E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7E652D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EC376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C3764"/>
  </w:style>
  <w:style w:type="paragraph" w:styleId="Stopka">
    <w:name w:val="footer"/>
    <w:basedOn w:val="Normalny"/>
    <w:link w:val="StopkaZnak"/>
    <w:uiPriority w:val="99"/>
    <w:unhideWhenUsed/>
    <w:rsid w:val="00EC376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C3764"/>
  </w:style>
  <w:style w:type="character" w:customStyle="1" w:styleId="Nagwek1Znak">
    <w:name w:val="Nagłówek 1 Znak"/>
    <w:basedOn w:val="Domylnaczcionkaakapitu"/>
    <w:link w:val="Nagwek1"/>
    <w:uiPriority w:val="9"/>
    <w:rsid w:val="00EC37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37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37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37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37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3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3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EC37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37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C376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C376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C3764"/>
    <w:rPr>
      <w:i/>
      <w:iCs/>
      <w:color w:val="auto"/>
    </w:rPr>
  </w:style>
  <w:style w:type="paragraph" w:styleId="Bezodstpw">
    <w:name w:val="No Spacing"/>
    <w:uiPriority w:val="1"/>
    <w:qFormat/>
    <w:rsid w:val="00EC376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C37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C376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37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376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C376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C376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C376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C376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C3764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3B"/>
    <w:rsid w:val="0045163B"/>
    <w:rsid w:val="00F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516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718C-1978-4744-BC5F-B404E4BB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745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Vallen Quenn</dc:creator>
  <cp:lastModifiedBy>Vallen Quenn</cp:lastModifiedBy>
  <cp:revision>20</cp:revision>
  <dcterms:created xsi:type="dcterms:W3CDTF">2016-01-18T19:41:00Z</dcterms:created>
  <dcterms:modified xsi:type="dcterms:W3CDTF">2016-01-19T18:01:00Z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