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NIA 프로젝트 주간보고서(10월 4주차)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3544"/>
        <w:gridCol w:w="1275"/>
        <w:gridCol w:w="2784"/>
        <w:tblGridChange w:id="0">
          <w:tblGrid>
            <w:gridCol w:w="1413"/>
            <w:gridCol w:w="3544"/>
            <w:gridCol w:w="1275"/>
            <w:gridCol w:w="2784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김경수, 이세림, 이지상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김경수, 이지상, 이세림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2021.10.27(수)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작성자</w:t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주요 진행사항</w:t>
      </w:r>
    </w:p>
    <w:tbl>
      <w:tblPr>
        <w:tblStyle w:val="Table2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796"/>
        <w:tblGridChange w:id="0">
          <w:tblGrid>
            <w:gridCol w:w="1413"/>
            <w:gridCol w:w="7796"/>
          </w:tblGrid>
        </w:tblGridChange>
      </w:tblGrid>
      <w:tr>
        <w:trPr>
          <w:cantSplit w:val="0"/>
          <w:trHeight w:val="340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이슈사항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76" w:lineRule="auto"/>
              <w:ind w:left="460" w:hanging="3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MPED-RNN 모델 마무리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다양한 데이터셋으로 모델 평가를 해봤지만 다른 모델과는 다르게 큰 성과가 보이지 않아 마무리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76" w:lineRule="auto"/>
              <w:ind w:left="460" w:hanging="340"/>
              <w:jc w:val="left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SK-CNN 모델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48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새롭게 주시하고 있는 SK-CNN 모델에 대해 GitHub에 올라와 있는 소스코드를 가지고 이상현상 데이터셋을 가지고 모델에 사용이 가능한지 분석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세부 진행사항</w:t>
      </w:r>
    </w:p>
    <w:tbl>
      <w:tblPr>
        <w:tblStyle w:val="Table3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796"/>
        <w:tblGridChange w:id="0">
          <w:tblGrid>
            <w:gridCol w:w="1271"/>
            <w:gridCol w:w="77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요 일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업무내용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22일(금)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4" w:hanging="31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MPED-RNN: Skeleton 구조 재분석 및 변형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57350" cy="2109470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6556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109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&lt;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MPED-RNN 모델의 스켈레톤 예상 구조 &gt;</w:t>
            </w: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4849330" cy="790736"/>
                  <wp:effectExtent b="0" l="0" r="0" t="0"/>
                  <wp:docPr id="1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330" cy="7907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 MPED-RNN 모델의 연결되어 있는 point&gt;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MPED-RNN 모델에서 사용하는 skeleton 구조의 point별 해당하는 좌표의 위치가 UCF-Crime, AI-Hub, E2ON dataset과 맞지 않아 정확한 skeleton 구조의 point가 필요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모델의 skeleton point는 따로 나와있지 않고 0번부터 16번까지 총 17개의 좌표를 사용하기 때문에 이를 이용하여 유추하는 방법만 존재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따라서 skeleton 구조를 직접 그리고 판단하는 방법밖에 없음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실제로 connections을 따라 직접 skeleton 구조를 그려봤지만 큰 변화는 없었</w:t>
            </w:r>
            <w:r w:rsidDel="00000000" w:rsidR="00000000" w:rsidRPr="00000000">
              <w:rPr>
                <w:rtl w:val="0"/>
              </w:rPr>
              <w:t xml:space="preserve">다.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23일(토)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4" w:hanging="31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MPED-RNN: CSV파일 오류 분석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이전에 임의로 좌표값을 할당해 학습했던 것을 개선하기 위해 필요없는 좌표값을 좌측 어깨의 좌표값으로 변경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좋은 결과가 나오지 않아 이번에는 1, 3번은 좌측어깨, 2, 4번은 우측어깨 좌표를 넣어 csv를 생성한 후 학습 및 평가 실행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2619375" cy="161925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66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(1)기존 좌표를 넣어 만든 csv와 (2)좌측 어깨의 point 정보를 넣은 csv, (3)각각 좌측, 우측 어깨의 point 정보를 넣은 csv의 평가 결과를 통틀어 가장 높은 값이 나온 acc_score은 약 65%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다른 해결책을 찾기 어려워 해당 모델의 검증 종료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24일(일)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4" w:hanging="31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MPED-RNN: Natural Breaks를 통한 다중분류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Break point 수를 늘려 군집화가 더 다양하게 이루어지게 하고 각 종류별 프레임수를 원본과 최대한 비슷하게 유도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427305" cy="1949489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305" cy="1949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600200" cy="2999105"/>
                  <wp:effectExtent b="0" l="0" r="0" t="0"/>
                  <wp:docPr id="1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999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-179069</wp:posOffset>
                  </wp:positionV>
                  <wp:extent cx="728345" cy="3037840"/>
                  <wp:effectExtent b="0" l="0" r="0" t="0"/>
                  <wp:wrapSquare wrapText="bothSides" distB="0" distT="0" distL="114300" distR="114300"/>
                  <wp:docPr id="2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3037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Frame 수를 비슷하게 했음에도 예측 결과가 실제 데이터와 큰 차이가 발생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26일(화)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4" w:hanging="31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SK-CNN: 모델 관련 논문 및 GitHub 확인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</w:rPr>
              <w:drawing>
                <wp:inline distB="0" distT="0" distL="0" distR="0">
                  <wp:extent cx="4363059" cy="2162477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21624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논문: </w:t>
            </w:r>
            <w:hyperlink r:id="rId14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https://arxiv.org/pdf/1704.07595.pdf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Skeleton 기반 동작 인식에 대한 접근 방식은 RNN(반복 신경망)을 기반으로 함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Skeleton 모션과 Skeleton 좌표가 CNN에 직접 공급됨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Skeleton 데이터를 기반으로 3D RGB 이미지를 생성하여 해당 이미지로 학습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Git: </w:t>
            </w:r>
            <w:hyperlink r:id="rId15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https://github.com/FesianXu/SK-CNN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모델은 SkelCNN.py 파일 내부에 class로 정의되어 있음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파일의 class 내부에 모델 정의하여 built 해주고, 학습 및 평가를 할 수 있는 함수를 작성하여 class를 이용한 모델 사용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모델은 NTU RGB+D dataset과 PKU-MMD dataset을 사용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전자는 작업 분류를 위해 설계되었으며, 60개의 범주로 이루어짐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후자는 전체의 1/20이 조정되지 않은 비디오로, 51개의 범주로 이루어져 있음</w:t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10월 27일(수)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14" w:hanging="314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SK-CNN: 모델 학습 및 평가를 위한 데이터 전처리 및 코드 수정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모델을 import하는 부분에서 python의 버전이 올라가거나 모듈의 업데이트로 인하여 import가 되지 않는 경우가 존재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경우는 필요한 모듈이 있는 부분으로 바꾸거나 다른 모듈 사용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14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모듈이 있는 부분으로 우회하여 함수 사용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코드 실행을 위해 file_data의 위치에 들어가는 값을 찾음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14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Skeleton 구조의 csv파일(좌표값)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14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Skeleton 구조의 json파일(좌표값)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14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영상 데이터(.mp4)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14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Skeleton 구조가 들어있는 위치(csv/json)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실제로 위 네개의 경우 모두 불가능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논문에 나와있는 NTURGB+D dataset과 PKU-MMD dataset을 이용하여 코드가 돌아가는 방식을 보기 위해 데이터 다운로드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Git: </w:t>
            </w:r>
            <w:hyperlink r:id="rId16">
              <w:r w:rsidDel="00000000" w:rsidR="00000000" w:rsidRPr="00000000">
                <w:rPr>
                  <w:rFonts w:ascii="Malgun Gothic" w:cs="Malgun Gothic" w:eastAsia="Malgun Gothic" w:hAnsi="Malgun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https://github.com/shahroudy/NTURGB-D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GitHub는 SK-CNN model을 git한 사람과 동일인물로 해당 데이터셋을 우선 사용하기로 결정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데이터셋은 확장자가 SKELETON인 파일로 존재하며 해당 파일을 위 GitHub에 올라와 있는 txt2npy.py을 이용하여 SKELETON파일을 npy파일로 변경해야 함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file_data 변수에 들어가는 데이터는 SKELETON 파일을 numpy로 바꾼 npy확장자의 file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4813300" cy="708025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708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&lt; main()함수 &gt;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3067478" cy="1314633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3146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&lt; 오류 &gt;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</w:rPr>
              <w:drawing>
                <wp:inline distB="0" distT="0" distL="0" distR="0">
                  <wp:extent cx="2857899" cy="400106"/>
                  <wp:effectExtent b="0" l="0" r="0" t="0"/>
                  <wp:docPr id="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001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&lt; 오류가 나는 구문, train이 오류 났으니 test도 오류 날거라 예상 &gt;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</w:rPr>
              <w:drawing>
                <wp:inline distB="0" distT="0" distL="0" distR="0">
                  <wp:extent cx="4813300" cy="1554480"/>
                  <wp:effectExtent b="0" l="0" r="0" t="0"/>
                  <wp:docPr id="2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554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&lt; train_file에 들어가는 npy파일 앞부분 &gt;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train_data.shape[0] 에서 오류가 발생해 들어가는 npy 데이터를 열어봤더니 초반 부분이 위와 같은 형식으로 되어 있었음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해당 변수를 data라고 할 때, data 자체의 type은 numpy.ndarray이나 데이터를 저장하는 타입은 object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4" w:right="0" w:hanging="284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다만 shape를 출력했을 때 ‘()’이 출력되면서 train_data을 데이터로 사용할 때 코드상에서 좀 더 변형이 필요함을 느낌</w:t>
            </w:r>
          </w:p>
        </w:tc>
      </w:tr>
    </w:tbl>
    <w:p w:rsidR="00000000" w:rsidDel="00000000" w:rsidP="00000000" w:rsidRDefault="00000000" w:rsidRPr="00000000" w14:paraId="00000065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기타 보고사항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7603"/>
        <w:tblGridChange w:id="0">
          <w:tblGrid>
            <w:gridCol w:w="1413"/>
            <w:gridCol w:w="7603"/>
          </w:tblGrid>
        </w:tblGridChange>
      </w:tblGrid>
      <w:tr>
        <w:trPr>
          <w:cantSplit w:val="0"/>
          <w:trHeight w:val="61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차주 </w:t>
              <w:br w:type="textWrapping"/>
              <w:t xml:space="preserve">진행계획</w:t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11월 1주차 진행계획</w:t>
            </w:r>
          </w:p>
          <w:tbl>
            <w:tblPr>
              <w:tblStyle w:val="Table5"/>
              <w:tblW w:w="73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  <w:tblGridChange w:id="0">
                <w:tblGrid>
                  <w:gridCol w:w="817"/>
                  <w:gridCol w:w="1312"/>
                  <w:gridCol w:w="1312"/>
                  <w:gridCol w:w="1312"/>
                  <w:gridCol w:w="1312"/>
                  <w:gridCol w:w="1312"/>
                </w:tblGrid>
              </w:tblGridChange>
            </w:tblGrid>
            <w:tr>
              <w:trPr>
                <w:cantSplit w:val="0"/>
                <w:trHeight w:val="567" w:hRule="atLeast"/>
                <w:tblHeader w:val="0"/>
              </w:trPr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73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구분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74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10월 29일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75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10월 30일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76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10월 31일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77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11월 1일</w:t>
                  </w:r>
                </w:p>
              </w:tc>
              <w:tc>
                <w:tcPr>
                  <w:shd w:fill="d9d9d9" w:val="clear"/>
                  <w:vAlign w:val="center"/>
                </w:tcPr>
                <w:p w:rsidR="00000000" w:rsidDel="00000000" w:rsidP="00000000" w:rsidRDefault="00000000" w:rsidRPr="00000000" w14:paraId="00000078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11월 2일</w:t>
                  </w:r>
                </w:p>
              </w:tc>
            </w:tr>
            <w:tr>
              <w:trPr>
                <w:cantSplit w:val="0"/>
                <w:trHeight w:val="243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9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연구</w:t>
                  </w:r>
                </w:p>
                <w:p w:rsidR="00000000" w:rsidDel="00000000" w:rsidP="00000000" w:rsidRDefault="00000000" w:rsidRPr="00000000" w14:paraId="0000007A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내용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B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SK-CNN</w:t>
                  </w:r>
                </w:p>
                <w:p w:rsidR="00000000" w:rsidDel="00000000" w:rsidP="00000000" w:rsidRDefault="00000000" w:rsidRPr="00000000" w14:paraId="0000007C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모델분석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D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SK-CNN</w:t>
                  </w:r>
                </w:p>
                <w:p w:rsidR="00000000" w:rsidDel="00000000" w:rsidP="00000000" w:rsidRDefault="00000000" w:rsidRPr="00000000" w14:paraId="0000007E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학습데이터 구조분석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F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SK-CNN</w:t>
                  </w:r>
                </w:p>
                <w:p w:rsidR="00000000" w:rsidDel="00000000" w:rsidP="00000000" w:rsidRDefault="00000000" w:rsidRPr="00000000" w14:paraId="00000080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학습 코드</w:t>
                  </w:r>
                </w:p>
                <w:p w:rsidR="00000000" w:rsidDel="00000000" w:rsidP="00000000" w:rsidRDefault="00000000" w:rsidRPr="00000000" w14:paraId="00000081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추가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SK-CNN</w:t>
                  </w:r>
                </w:p>
                <w:p w:rsidR="00000000" w:rsidDel="00000000" w:rsidP="00000000" w:rsidRDefault="00000000" w:rsidRPr="00000000" w14:paraId="00000083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학습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4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주간보고서 작성 및</w:t>
                  </w:r>
                </w:p>
                <w:p w:rsidR="00000000" w:rsidDel="00000000" w:rsidP="00000000" w:rsidRDefault="00000000" w:rsidRPr="00000000" w14:paraId="00000085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발표 자료 준비</w:t>
                  </w:r>
                </w:p>
              </w:tc>
            </w:tr>
            <w:tr>
              <w:trPr>
                <w:cantSplit w:val="0"/>
                <w:trHeight w:val="243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6">
                  <w:pPr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산출물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7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8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SK-CNN</w:t>
                  </w:r>
                </w:p>
                <w:p w:rsidR="00000000" w:rsidDel="00000000" w:rsidP="00000000" w:rsidRDefault="00000000" w:rsidRPr="00000000" w14:paraId="00000089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학습데이터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A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B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NTURGB+D dataset으로</w:t>
                  </w:r>
                </w:p>
                <w:p w:rsidR="00000000" w:rsidDel="00000000" w:rsidP="00000000" w:rsidRDefault="00000000" w:rsidRPr="00000000" w14:paraId="0000008C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학습한 </w:t>
                  </w:r>
                </w:p>
                <w:p w:rsidR="00000000" w:rsidDel="00000000" w:rsidP="00000000" w:rsidRDefault="00000000" w:rsidRPr="00000000" w14:paraId="0000008D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가중치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E">
                  <w:pPr>
                    <w:spacing w:line="276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주간 보고서및 발표자료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특이사항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SK-CNN 모델에 대한 정보가 부족하여 팀 내에서 스터디 필요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SK-CNN 모델이 GIT에 올라와 있는 코드만으론 학습 및 평가가 불가능해서 코드를 수정 및 추가 필요</w:t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jc w:val="left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‑"/>
      <w:lvlJc w:val="left"/>
      <w:pPr>
        <w:ind w:left="454" w:hanging="284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021"/>
      <w:numFmt w:val="bullet"/>
      <w:lvlText w:val="-"/>
      <w:lvlJc w:val="left"/>
      <w:pPr>
        <w:ind w:left="480" w:hanging="360"/>
      </w:pPr>
      <w:rPr>
        <w:rFonts w:ascii="Malgun Gothic" w:cs="Malgun Gothic" w:eastAsia="Malgun Gothic" w:hAnsi="Malgun Gothic"/>
        <w:b w:val="0"/>
      </w:rPr>
    </w:lvl>
    <w:lvl w:ilvl="1">
      <w:start w:val="1"/>
      <w:numFmt w:val="bullet"/>
      <w:lvlText w:val="■"/>
      <w:lvlJc w:val="left"/>
      <w:pPr>
        <w:ind w:left="92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2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2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2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2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2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2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021"/>
      <w:numFmt w:val="bullet"/>
      <w:lvlText w:val="⇨"/>
      <w:lvlJc w:val="left"/>
      <w:pPr>
        <w:ind w:left="81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54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54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54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54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54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54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54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54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814" w:hanging="359.99999999999994"/>
      </w:pPr>
      <w:rPr/>
    </w:lvl>
    <w:lvl w:ilvl="1">
      <w:start w:val="1"/>
      <w:numFmt w:val="upperLetter"/>
      <w:lvlText w:val="%2."/>
      <w:lvlJc w:val="left"/>
      <w:pPr>
        <w:ind w:left="1254" w:hanging="400"/>
      </w:pPr>
      <w:rPr/>
    </w:lvl>
    <w:lvl w:ilvl="2">
      <w:start w:val="1"/>
      <w:numFmt w:val="lowerRoman"/>
      <w:lvlText w:val="%3."/>
      <w:lvlJc w:val="right"/>
      <w:pPr>
        <w:ind w:left="1654" w:hanging="400"/>
      </w:pPr>
      <w:rPr/>
    </w:lvl>
    <w:lvl w:ilvl="3">
      <w:start w:val="1"/>
      <w:numFmt w:val="decimal"/>
      <w:lvlText w:val="%4."/>
      <w:lvlJc w:val="left"/>
      <w:pPr>
        <w:ind w:left="2054" w:hanging="400"/>
      </w:pPr>
      <w:rPr/>
    </w:lvl>
    <w:lvl w:ilvl="4">
      <w:start w:val="1"/>
      <w:numFmt w:val="upperLetter"/>
      <w:lvlText w:val="%5."/>
      <w:lvlJc w:val="left"/>
      <w:pPr>
        <w:ind w:left="2454" w:hanging="400"/>
      </w:pPr>
      <w:rPr/>
    </w:lvl>
    <w:lvl w:ilvl="5">
      <w:start w:val="1"/>
      <w:numFmt w:val="lowerRoman"/>
      <w:lvlText w:val="%6."/>
      <w:lvlJc w:val="right"/>
      <w:pPr>
        <w:ind w:left="2854" w:hanging="400"/>
      </w:pPr>
      <w:rPr/>
    </w:lvl>
    <w:lvl w:ilvl="6">
      <w:start w:val="1"/>
      <w:numFmt w:val="decimal"/>
      <w:lvlText w:val="%7."/>
      <w:lvlJc w:val="left"/>
      <w:pPr>
        <w:ind w:left="3254" w:hanging="400"/>
      </w:pPr>
      <w:rPr/>
    </w:lvl>
    <w:lvl w:ilvl="7">
      <w:start w:val="1"/>
      <w:numFmt w:val="upperLetter"/>
      <w:lvlText w:val="%8."/>
      <w:lvlJc w:val="left"/>
      <w:pPr>
        <w:ind w:left="3654" w:hanging="400"/>
      </w:pPr>
      <w:rPr/>
    </w:lvl>
    <w:lvl w:ilvl="8">
      <w:start w:val="1"/>
      <w:numFmt w:val="lowerRoman"/>
      <w:lvlText w:val="%9."/>
      <w:lvlJc w:val="right"/>
      <w:pPr>
        <w:ind w:left="4054" w:hanging="4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7"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‑"/>
      <w:lvlJc w:val="left"/>
      <w:pPr>
        <w:ind w:left="2722" w:hanging="1021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Malgun Gothic" w:cs="Malgun Gothic" w:eastAsia="Malgun Gothic" w:hAnsi="Malgun Gothic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C1AF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E2436E"/>
    <w:pPr>
      <w:ind w:left="800" w:leftChars="400"/>
    </w:pPr>
  </w:style>
  <w:style w:type="paragraph" w:styleId="a6">
    <w:name w:val="caption"/>
    <w:basedOn w:val="a"/>
    <w:next w:val="a"/>
    <w:uiPriority w:val="35"/>
    <w:unhideWhenUsed w:val="1"/>
    <w:qFormat w:val="1"/>
    <w:rsid w:val="00E849A4"/>
    <w:rPr>
      <w:b w:val="1"/>
      <w:bCs w:val="1"/>
    </w:rPr>
  </w:style>
  <w:style w:type="paragraph" w:styleId="a7">
    <w:name w:val="header"/>
    <w:basedOn w:val="a"/>
    <w:link w:val="Char"/>
    <w:uiPriority w:val="99"/>
    <w:unhideWhenUsed w:val="1"/>
    <w:rsid w:val="00EE31F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 w:val="1"/>
    <w:rsid w:val="00EE31F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">
    <w:name w:val="Hyperlink"/>
    <w:basedOn w:val="a0"/>
    <w:uiPriority w:val="99"/>
    <w:unhideWhenUsed w:val="1"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 w:val="1"/>
    <w:unhideWhenUsed w:val="1"/>
    <w:rsid w:val="00CE6E6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github.com/FesianXu/SK-CNN" TargetMode="External"/><Relationship Id="rId14" Type="http://schemas.openxmlformats.org/officeDocument/2006/relationships/hyperlink" Target="https://arxiv.org/pdf/1704.07595.pdf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github.com/shahroudy/NTURGB-D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Xw7X3Jav+2j5vtxtMANpelQsgA==">AMUW2mVbDNrahEv8i+R7AwDsnYn2tz3lJNMSrUIXWiXq7Dz24FBlTOVSI/bgBOihCO/0ahJDUUajp3XoDRNBWs8bb21nxcYw+DT8pJQmBQv/8QbkMw5nKqI=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2021-10-26T17:15:00Z</dcterms:created>
  <dc:creator>김경원</dc:creator>
</cp:coreProperties>
</file>