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numbering.xml" ContentType="application/vnd.openxmlformats-officedocument.wordprocessingml.numbering+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ProposalTitle"/>
        <w:jc w:val="center"/>
      </w:pPr>
      <w:r>
        <w:t>Artificial Intelligence for Smart-Building Log Analysis</w:t>
      </w:r>
    </w:p>
    <w:p>
      <w:pPr>
        <w:pStyle w:val="ProposalSubtitle"/>
        <w:jc w:val="center"/>
      </w:pPr>
      <w:r>
        <w:t>PROJECT PROPOSAL</w:t>
      </w:r>
    </w:p>
    <w:p>
      <w:pPr>
        <w:spacing w:after="240"/>
        <w:jc w:val="center"/>
      </w:pPr>
      <w:r>
        <w:t>Group Number: C262T-4101  |  Ticket Number: D01  |  Host Organisation: Smart Facilities SA</w:t>
      </w:r>
    </w:p>
    <w:p>
      <w:pPr/>
      <w:r>
        <w:t>Mentors: Wenhao Liang and Abhilash Sridhara  |  Week 1 starts: 03-Aug-2026</w:t>
      </w:r>
    </w:p>
    <w:tbl>
      <w:tblPr>
        <w:tblStyle w:val="TableGrid"/>
        <w:tblW w:type="auto" w:w="0"/>
        <w:jc w:val="center"/>
        <w:tblLook w:firstColumn="1" w:firstRow="1" w:lastColumn="0" w:lastRow="0" w:noHBand="0" w:noVBand="1" w:val="04A0"/>
      </w:tblPr>
      <w:tblGrid>
        <w:gridCol w:w="3213"/>
        <w:gridCol w:w="3213"/>
        <w:gridCol w:w="3213"/>
      </w:tblGrid>
      <w:tr>
        <w:trPr>
          <w:cantSplit/>
        </w:trPr>
        <w:tc>
          <w:tcPr>
            <w:tcW w:type="dxa" w:w="1814"/>
            <w:vAlign w:val="center"/>
            <w:shd w:fill="2F5597"/>
          </w:tcPr>
          <w:p>
            <w:pPr>
              <w:spacing w:before="0" w:after="0" w:line="240" w:lineRule="auto"/>
              <w:jc w:val="center"/>
            </w:pPr>
            <w:r/>
            <w:r>
              <w:rPr>
                <w:rFonts w:ascii="Aptos" w:hAnsi="Aptos"/>
                <w:b/>
                <w:color w:val="FFFFFF"/>
                <w:sz w:val="18"/>
              </w:rPr>
              <w:t>Username</w:t>
            </w:r>
          </w:p>
        </w:tc>
        <w:tc>
          <w:tcPr>
            <w:tcW w:type="dxa" w:w="3855"/>
            <w:vAlign w:val="center"/>
            <w:shd w:fill="2F5597"/>
          </w:tcPr>
          <w:p>
            <w:pPr>
              <w:spacing w:before="0" w:after="0" w:line="240" w:lineRule="auto"/>
              <w:jc w:val="center"/>
            </w:pPr>
            <w:r/>
            <w:r>
              <w:rPr>
                <w:rFonts w:ascii="Aptos" w:hAnsi="Aptos"/>
                <w:b/>
                <w:color w:val="FFFFFF"/>
                <w:sz w:val="18"/>
              </w:rPr>
              <w:t>Team Member Name</w:t>
            </w:r>
          </w:p>
        </w:tc>
        <w:tc>
          <w:tcPr>
            <w:tcW w:type="dxa" w:w="2267"/>
            <w:vAlign w:val="center"/>
            <w:shd w:fill="2F5597"/>
          </w:tcPr>
          <w:p>
            <w:pPr>
              <w:spacing w:before="0" w:after="0" w:line="240" w:lineRule="auto"/>
              <w:jc w:val="center"/>
            </w:pPr>
            <w:r/>
            <w:r>
              <w:rPr>
                <w:rFonts w:ascii="Aptos" w:hAnsi="Aptos"/>
                <w:b/>
                <w:color w:val="FFFFFF"/>
                <w:sz w:val="18"/>
              </w:rPr>
              <w:t>Preferred Name</w:t>
            </w:r>
          </w:p>
        </w:tc>
      </w:tr>
      <w:tr>
        <w:trPr>
          <w:cantSplit/>
        </w:trPr>
        <w:tc>
          <w:tcPr>
            <w:tcW w:type="dxa" w:w="1814"/>
            <w:vAlign w:val="center"/>
          </w:tcPr>
          <w:p>
            <w:pPr>
              <w:spacing w:before="0" w:after="0" w:line="240" w:lineRule="auto"/>
              <w:jc w:val="center"/>
            </w:pPr>
            <w:r/>
            <w:r>
              <w:rPr>
                <w:rFonts w:ascii="Aptos" w:hAnsi="Aptos"/>
                <w:b w:val="0"/>
                <w:sz w:val="18"/>
              </w:rPr>
              <w:t>a1948935</w:t>
            </w:r>
          </w:p>
        </w:tc>
        <w:tc>
          <w:tcPr>
            <w:tcW w:type="dxa" w:w="3855"/>
            <w:vAlign w:val="center"/>
          </w:tcPr>
          <w:p>
            <w:pPr>
              <w:spacing w:before="0" w:after="0" w:line="240" w:lineRule="auto"/>
            </w:pPr>
            <w:r/>
            <w:r>
              <w:rPr>
                <w:rFonts w:ascii="Aptos" w:hAnsi="Aptos"/>
                <w:b w:val="0"/>
                <w:sz w:val="18"/>
              </w:rPr>
              <w:t>Huaye Qi</w:t>
            </w:r>
          </w:p>
        </w:tc>
        <w:tc>
          <w:tcPr>
            <w:tcW w:type="dxa" w:w="2267"/>
            <w:vAlign w:val="center"/>
          </w:tcPr>
          <w:p>
            <w:pPr>
              <w:spacing w:before="0" w:after="0" w:line="240" w:lineRule="auto"/>
              <w:jc w:val="center"/>
            </w:pPr>
            <w:r/>
            <w:r>
              <w:rPr>
                <w:rFonts w:ascii="Aptos" w:hAnsi="Aptos"/>
                <w:b w:val="0"/>
                <w:sz w:val="18"/>
              </w:rPr>
              <w:t>Qi</w:t>
            </w:r>
          </w:p>
        </w:tc>
      </w:tr>
      <w:tr>
        <w:trPr>
          <w:cantSplit/>
        </w:trPr>
        <w:tc>
          <w:tcPr>
            <w:tcW w:type="dxa" w:w="1814"/>
            <w:vAlign w:val="center"/>
          </w:tcPr>
          <w:p>
            <w:pPr>
              <w:spacing w:before="0" w:after="0" w:line="240" w:lineRule="auto"/>
              <w:jc w:val="center"/>
            </w:pPr>
            <w:r/>
            <w:r>
              <w:rPr>
                <w:rFonts w:ascii="Aptos" w:hAnsi="Aptos"/>
                <w:b w:val="0"/>
                <w:sz w:val="18"/>
              </w:rPr>
              <w:t>a1906489</w:t>
            </w:r>
          </w:p>
        </w:tc>
        <w:tc>
          <w:tcPr>
            <w:tcW w:type="dxa" w:w="3855"/>
            <w:vAlign w:val="center"/>
          </w:tcPr>
          <w:p>
            <w:pPr>
              <w:spacing w:before="0" w:after="0" w:line="240" w:lineRule="auto"/>
            </w:pPr>
            <w:r/>
            <w:r>
              <w:rPr>
                <w:rFonts w:ascii="Aptos" w:hAnsi="Aptos"/>
                <w:b w:val="0"/>
                <w:sz w:val="18"/>
              </w:rPr>
              <w:t>Yongli Jiang</w:t>
            </w:r>
          </w:p>
        </w:tc>
        <w:tc>
          <w:tcPr>
            <w:tcW w:type="dxa" w:w="2267"/>
            <w:vAlign w:val="center"/>
          </w:tcPr>
          <w:p>
            <w:pPr>
              <w:spacing w:before="0" w:after="0" w:line="240" w:lineRule="auto"/>
              <w:jc w:val="center"/>
            </w:pPr>
            <w:r/>
            <w:r>
              <w:rPr>
                <w:rFonts w:ascii="Aptos" w:hAnsi="Aptos"/>
                <w:b w:val="0"/>
                <w:sz w:val="18"/>
              </w:rPr>
              <w:t>Lee</w:t>
            </w:r>
          </w:p>
        </w:tc>
      </w:tr>
      <w:tr>
        <w:trPr>
          <w:cantSplit/>
        </w:trPr>
        <w:tc>
          <w:tcPr>
            <w:tcW w:type="dxa" w:w="1814"/>
            <w:vAlign w:val="center"/>
          </w:tcPr>
          <w:p>
            <w:pPr>
              <w:spacing w:before="0" w:after="0" w:line="240" w:lineRule="auto"/>
              <w:jc w:val="center"/>
            </w:pPr>
            <w:r/>
            <w:r>
              <w:rPr>
                <w:rFonts w:ascii="Aptos" w:hAnsi="Aptos"/>
                <w:b w:val="0"/>
                <w:sz w:val="18"/>
              </w:rPr>
              <w:t>a1940040</w:t>
            </w:r>
          </w:p>
        </w:tc>
        <w:tc>
          <w:tcPr>
            <w:tcW w:type="dxa" w:w="3855"/>
            <w:vAlign w:val="center"/>
          </w:tcPr>
          <w:p>
            <w:pPr>
              <w:spacing w:before="0" w:after="0" w:line="240" w:lineRule="auto"/>
            </w:pPr>
            <w:r/>
            <w:r>
              <w:rPr>
                <w:rFonts w:ascii="Aptos" w:hAnsi="Aptos"/>
                <w:b w:val="0"/>
                <w:sz w:val="18"/>
              </w:rPr>
              <w:t>Jiahao Wang</w:t>
            </w:r>
          </w:p>
        </w:tc>
        <w:tc>
          <w:tcPr>
            <w:tcW w:type="dxa" w:w="2267"/>
            <w:vAlign w:val="center"/>
          </w:tcPr>
          <w:p>
            <w:pPr>
              <w:spacing w:before="0" w:after="0" w:line="240" w:lineRule="auto"/>
              <w:jc w:val="center"/>
            </w:pPr>
            <w:r/>
            <w:r>
              <w:rPr>
                <w:rFonts w:ascii="Aptos" w:hAnsi="Aptos"/>
                <w:b w:val="0"/>
                <w:sz w:val="18"/>
              </w:rPr>
              <w:t>Gavin</w:t>
            </w:r>
          </w:p>
        </w:tc>
      </w:tr>
      <w:tr>
        <w:trPr>
          <w:cantSplit/>
        </w:trPr>
        <w:tc>
          <w:tcPr>
            <w:tcW w:type="dxa" w:w="1814"/>
            <w:vAlign w:val="center"/>
          </w:tcPr>
          <w:p>
            <w:pPr>
              <w:spacing w:before="0" w:after="0" w:line="240" w:lineRule="auto"/>
              <w:jc w:val="center"/>
            </w:pPr>
            <w:r/>
            <w:r>
              <w:rPr>
                <w:rFonts w:ascii="Aptos" w:hAnsi="Aptos"/>
                <w:b w:val="0"/>
                <w:sz w:val="18"/>
              </w:rPr>
              <w:t>a1947217</w:t>
            </w:r>
          </w:p>
        </w:tc>
        <w:tc>
          <w:tcPr>
            <w:tcW w:type="dxa" w:w="3855"/>
            <w:vAlign w:val="center"/>
          </w:tcPr>
          <w:p>
            <w:pPr>
              <w:spacing w:before="0" w:after="0" w:line="240" w:lineRule="auto"/>
            </w:pPr>
            <w:r/>
            <w:r>
              <w:rPr>
                <w:rFonts w:ascii="Aptos" w:hAnsi="Aptos"/>
                <w:b w:val="0"/>
                <w:sz w:val="18"/>
              </w:rPr>
              <w:t>Meng Zhang</w:t>
            </w:r>
          </w:p>
        </w:tc>
        <w:tc>
          <w:tcPr>
            <w:tcW w:type="dxa" w:w="2267"/>
            <w:vAlign w:val="center"/>
          </w:tcPr>
          <w:p>
            <w:pPr>
              <w:spacing w:before="0" w:after="0" w:line="240" w:lineRule="auto"/>
              <w:jc w:val="center"/>
            </w:pPr>
            <w:r/>
            <w:r>
              <w:rPr>
                <w:rFonts w:ascii="Aptos" w:hAnsi="Aptos"/>
                <w:b w:val="0"/>
                <w:sz w:val="18"/>
              </w:rPr>
              <w:t>Penelope</w:t>
            </w:r>
          </w:p>
        </w:tc>
      </w:tr>
      <w:tr>
        <w:trPr>
          <w:cantSplit/>
        </w:trPr>
        <w:tc>
          <w:tcPr>
            <w:tcW w:type="dxa" w:w="1814"/>
            <w:vAlign w:val="center"/>
          </w:tcPr>
          <w:p>
            <w:pPr>
              <w:spacing w:before="0" w:after="0" w:line="240" w:lineRule="auto"/>
              <w:jc w:val="center"/>
            </w:pPr>
            <w:r/>
            <w:r>
              <w:rPr>
                <w:rFonts w:ascii="Aptos" w:hAnsi="Aptos"/>
                <w:b w:val="0"/>
                <w:sz w:val="18"/>
              </w:rPr>
              <w:t>a1941715</w:t>
            </w:r>
          </w:p>
        </w:tc>
        <w:tc>
          <w:tcPr>
            <w:tcW w:type="dxa" w:w="3855"/>
            <w:vAlign w:val="center"/>
          </w:tcPr>
          <w:p>
            <w:pPr>
              <w:spacing w:before="0" w:after="0" w:line="240" w:lineRule="auto"/>
            </w:pPr>
            <w:r/>
            <w:r>
              <w:rPr>
                <w:rFonts w:ascii="Aptos" w:hAnsi="Aptos"/>
                <w:b w:val="0"/>
                <w:sz w:val="18"/>
              </w:rPr>
              <w:t>Zirui Geng</w:t>
            </w:r>
          </w:p>
        </w:tc>
        <w:tc>
          <w:tcPr>
            <w:tcW w:type="dxa" w:w="2267"/>
            <w:vAlign w:val="center"/>
          </w:tcPr>
          <w:p>
            <w:pPr>
              <w:spacing w:before="0" w:after="0" w:line="240" w:lineRule="auto"/>
              <w:jc w:val="center"/>
            </w:pPr>
            <w:r/>
            <w:r>
              <w:rPr>
                <w:rFonts w:ascii="Aptos" w:hAnsi="Aptos"/>
                <w:b w:val="0"/>
                <w:sz w:val="18"/>
              </w:rPr>
              <w:t>Roc</w:t>
            </w:r>
          </w:p>
        </w:tc>
      </w:tr>
    </w:tbl>
    <w:p>
      <w:pPr>
        <w:spacing w:before="200"/>
        <w:jc w:val="center"/>
      </w:pPr>
      <w:r>
        <w:rPr>
          <w:b/>
          <w:sz w:val="21"/>
        </w:rPr>
        <w:t>Date: 10 August 2026</w:t>
      </w:r>
    </w:p>
    <w:p>
      <w:pPr>
        <w:pStyle w:val="Heading1"/>
        <w:keepNext/>
        <w:spacing w:before="200" w:after="100"/>
      </w:pPr>
      <w:r>
        <w:rPr>
          <w:b/>
        </w:rPr>
        <w:t>Executive Summary</w:t>
      </w:r>
    </w:p>
    <w:p>
      <w:pPr>
        <w:spacing w:after="100" w:line="259" w:lineRule="auto"/>
      </w:pPr>
      <w:r>
        <w:t>Smart Facilities SA collects operational logs from access-control devices, heating and cooling systems, environmental sensors, lifts, power-management systems and building-management servers. The project will develop and evaluate a reproducible artificial-intelligence and machine-learning pipeline that transforms these heterogeneous logs into operational patterns, anomaly indicators and visual evidence that can support facilities and security staff.</w:t>
      </w:r>
    </w:p>
    <w:p>
      <w:pPr>
        <w:spacing w:after="100" w:line="259" w:lineRule="auto"/>
      </w:pPr>
      <w:r>
        <w:t>The proposed solution will cover data preparation, feature extraction, pattern discovery, anomaly detection, visualisation and evaluation. The technical approach will use Python as the primary implementation language, with open-source data-science and machine-learning libraries. Statistical baselines and multiple unsupervised anomaly-detection approaches will be compared so that the final recommendations are based on observed performance rather than a single algorithm. Where reliable incident labels exist, they will be used for quantitative validation; otherwise, evaluation will combine synthetic/known-event tests, stability analysis and structured expert review.</w:t>
      </w:r>
    </w:p>
    <w:p>
      <w:pPr>
        <w:spacing w:after="100" w:line="259" w:lineRule="auto"/>
      </w:pPr>
      <w:r>
        <w:t>The main deliverables will be a documented log-analysis pipeline, reusable source code, exploratory and anomaly-analysis outputs, visualisations, an anomaly interpretation and prioritisation framework, and a final technical report with recommendations for future deployment. The planned duration is ten teaching weeks. The project is expected to require no mandatory software-licensing expenditure because the core tools are open source; an optional cloud-compute contingency of AUD 200 is budgeted only if local or organisational computing resources are insufficient. Student effort is estimated at approximately 400 hours in total and is shown separately as a hypothetical labour-value item.</w:t>
      </w:r>
    </w:p>
    <w:p>
      <w:pPr>
        <w:pStyle w:val="Heading1"/>
        <w:keepNext/>
        <w:spacing w:before="200" w:after="100"/>
      </w:pPr>
      <w:r>
        <w:rPr>
          <w:b/>
        </w:rPr>
        <w:t>1. Project Background and Description</w:t>
      </w:r>
    </w:p>
    <w:p>
      <w:pPr>
        <w:spacing w:after="100" w:line="259" w:lineRule="auto"/>
      </w:pPr>
      <w:r>
        <w:t>Smart Facilities SA is the host organisation for this project. Its facilities-management environment produces logs from multiple smart-building subsystems, including access control, heating and cooling, environmental sensing, lifts, power management and building-management servers. These systems generate operational records that may contain recurring patterns as well as deviations caused by equipment faults, unusual usage, configuration issues or security-related events.</w:t>
      </w:r>
    </w:p>
    <w:p>
      <w:pPr>
        <w:spacing w:after="100" w:line="259" w:lineRule="auto"/>
      </w:pPr>
      <w:r>
        <w:t>The project investigates whether artificial intelligence and machine-learning methods can distinguish normal operational behaviour from unusual behaviour and provide early indications of equipment or security problems. The emphasis is not only on detecting anomalies, but also on explaining them in a form that facilities or security staff can interpret and prioritise.</w:t>
      </w:r>
    </w:p>
    <w:p>
      <w:pPr>
        <w:spacing w:after="100" w:line="259" w:lineRule="auto"/>
      </w:pPr>
      <w:r>
        <w:t>The project objectives are to:</w:t>
      </w:r>
    </w:p>
    <w:p>
      <w:pPr>
        <w:pStyle w:val="ListBullet"/>
        <w:spacing w:after="40"/>
        <w:ind w:left="312" w:hanging="142"/>
      </w:pPr>
      <w:r>
        <w:rPr>
          <w:sz w:val="20"/>
        </w:rPr>
        <w:t>Create a reproducible workflow for importing, cleaning, transforming and analysing heterogeneous smart-building logs.</w:t>
      </w:r>
    </w:p>
    <w:p>
      <w:pPr>
        <w:pStyle w:val="ListBullet"/>
        <w:spacing w:after="40"/>
        <w:ind w:left="312" w:hanging="142"/>
      </w:pPr>
      <w:r>
        <w:rPr>
          <w:sz w:val="20"/>
        </w:rPr>
        <w:t>Identify normal temporal, device-level and cross-system operational patterns.</w:t>
      </w:r>
    </w:p>
    <w:p>
      <w:pPr>
        <w:pStyle w:val="ListBullet"/>
        <w:spacing w:after="40"/>
        <w:ind w:left="312" w:hanging="142"/>
      </w:pPr>
      <w:r>
        <w:rPr>
          <w:sz w:val="20"/>
        </w:rPr>
        <w:t>Design and compare suitable anomaly-detection methods, including statistical baselines and machine-learning approaches.</w:t>
      </w:r>
    </w:p>
    <w:p>
      <w:pPr>
        <w:pStyle w:val="ListBullet"/>
        <w:spacing w:after="40"/>
        <w:ind w:left="312" w:hanging="142"/>
      </w:pPr>
      <w:r>
        <w:rPr>
          <w:sz w:val="20"/>
        </w:rPr>
        <w:t>Develop visualisations that communicate patterns, anomaly timing, affected systems and supporting evidence.</w:t>
      </w:r>
    </w:p>
    <w:p>
      <w:pPr>
        <w:pStyle w:val="ListBullet"/>
        <w:spacing w:after="40"/>
        <w:ind w:left="312" w:hanging="142"/>
      </w:pPr>
      <w:r>
        <w:rPr>
          <w:sz w:val="20"/>
        </w:rPr>
        <w:t>Evaluate the usefulness and limitations of the detection methods using available labels, known events, synthetic anomalies and/or structured expert assessment as appropriate.</w:t>
      </w:r>
    </w:p>
    <w:p>
      <w:pPr>
        <w:pStyle w:val="ListBullet"/>
        <w:spacing w:after="40"/>
        <w:ind w:left="312" w:hanging="142"/>
      </w:pPr>
      <w:r>
        <w:rPr>
          <w:sz w:val="20"/>
        </w:rPr>
        <w:t>Define a practical interpretation and prioritisation approach that helps facilities or security staff triage identified anomalies.</w:t>
      </w:r>
    </w:p>
    <w:p>
      <w:pPr>
        <w:spacing w:after="100" w:line="259" w:lineRule="auto"/>
      </w:pPr>
      <w:r>
        <w:t>Expected organisational benefits include improved visibility of building operations, faster identification of unusual behaviour, better prioritisation of investigation effort, and evidence for deciding whether a more operational AI-assisted monitoring capability should be developed in the future.</w:t>
      </w:r>
    </w:p>
    <w:p>
      <w:pPr>
        <w:pStyle w:val="Heading1"/>
        <w:keepNext/>
        <w:spacing w:before="200" w:after="100"/>
      </w:pPr>
      <w:r>
        <w:rPr>
          <w:b/>
        </w:rPr>
        <w:t>2. Project Scope</w:t>
      </w:r>
    </w:p>
    <w:p>
      <w:pPr>
        <w:pStyle w:val="ProposalSubheading"/>
        <w:keepNext/>
        <w:spacing w:before="140" w:after="80"/>
      </w:pPr>
      <w:r>
        <w:rPr>
          <w:b/>
        </w:rPr>
        <w:t>Inclusions</w:t>
      </w:r>
    </w:p>
    <w:p>
      <w:pPr>
        <w:spacing w:after="100" w:line="259" w:lineRule="auto"/>
      </w:pPr>
      <w:r>
        <w:t>The following aspects of the project are considered within scope:</w:t>
      </w:r>
    </w:p>
    <w:p>
      <w:pPr>
        <w:pStyle w:val="ListBullet"/>
        <w:spacing w:after="40"/>
        <w:ind w:left="312" w:hanging="142"/>
      </w:pPr>
      <w:r>
        <w:rPr>
          <w:sz w:val="20"/>
        </w:rPr>
        <w:t>Review and characterisation of the log data supplied or approved for the project, including fields, timestamps, event types, missingness, volume and quality constraints.</w:t>
      </w:r>
    </w:p>
    <w:p>
      <w:pPr>
        <w:pStyle w:val="ListBullet"/>
        <w:spacing w:after="40"/>
        <w:ind w:left="312" w:hanging="142"/>
      </w:pPr>
      <w:r>
        <w:rPr>
          <w:sz w:val="20"/>
        </w:rPr>
        <w:t>Data cleaning and preparation, including timestamp normalisation, duplicate handling, missing-value treatment, categorical standardisation and construction of analysis-ready event records.</w:t>
      </w:r>
    </w:p>
    <w:p>
      <w:pPr>
        <w:pStyle w:val="ListBullet"/>
        <w:spacing w:after="40"/>
        <w:ind w:left="312" w:hanging="142"/>
      </w:pPr>
      <w:r>
        <w:rPr>
          <w:sz w:val="20"/>
        </w:rPr>
        <w:t>Feature extraction at appropriate time, device and system levels, such as event counts, inter-event intervals, rolling statistics, categorical/event-code features and, where applicable, text-derived features.</w:t>
      </w:r>
    </w:p>
    <w:p>
      <w:pPr>
        <w:pStyle w:val="ListBullet"/>
        <w:spacing w:after="40"/>
        <w:ind w:left="312" w:hanging="142"/>
      </w:pPr>
      <w:r>
        <w:rPr>
          <w:sz w:val="20"/>
        </w:rPr>
        <w:t>Exploratory analysis and pattern discovery to identify recurring operating modes, temporal cycles, clusters and relationships between smart-building subsystems.</w:t>
      </w:r>
    </w:p>
    <w:p>
      <w:pPr>
        <w:pStyle w:val="ListBullet"/>
        <w:spacing w:after="40"/>
        <w:ind w:left="312" w:hanging="142"/>
      </w:pPr>
      <w:r>
        <w:rPr>
          <w:sz w:val="20"/>
        </w:rPr>
        <w:t>Development of statistical baseline anomaly rules and one or more machine-learning anomaly-detection approaches suitable for predominantly unlabeled log data.</w:t>
      </w:r>
    </w:p>
    <w:p>
      <w:pPr>
        <w:pStyle w:val="ListBullet"/>
        <w:spacing w:after="40"/>
        <w:ind w:left="312" w:hanging="142"/>
      </w:pPr>
      <w:r>
        <w:rPr>
          <w:sz w:val="20"/>
        </w:rPr>
        <w:t>Comparison and evaluation of candidate methods using technically appropriate metrics and qualitative review, depending on the availability of trustworthy ground truth.</w:t>
      </w:r>
    </w:p>
    <w:p>
      <w:pPr>
        <w:pStyle w:val="ListBullet"/>
        <w:spacing w:after="40"/>
        <w:ind w:left="312" w:hanging="142"/>
      </w:pPr>
      <w:r>
        <w:rPr>
          <w:sz w:val="20"/>
        </w:rPr>
        <w:t>Visualisation of normal patterns and detected anomalies, with sufficient contextual information to support investigation.</w:t>
      </w:r>
    </w:p>
    <w:p>
      <w:pPr>
        <w:pStyle w:val="ListBullet"/>
        <w:spacing w:after="40"/>
        <w:ind w:left="312" w:hanging="142"/>
      </w:pPr>
      <w:r>
        <w:rPr>
          <w:sz w:val="20"/>
        </w:rPr>
        <w:t>Development of an interpretation and prioritisation framework for facilities or security staff, including anomaly evidence, confidence/severity indicators and recommended triage considerations.</w:t>
      </w:r>
    </w:p>
    <w:p>
      <w:pPr>
        <w:pStyle w:val="ListBullet"/>
        <w:spacing w:after="40"/>
        <w:ind w:left="312" w:hanging="142"/>
      </w:pPr>
      <w:r>
        <w:rPr>
          <w:sz w:val="20"/>
        </w:rPr>
        <w:t>Documentation, source-code packaging and final presentation of findings, limitations and recommendations.</w:t>
      </w:r>
    </w:p>
    <w:p>
      <w:pPr>
        <w:pStyle w:val="ProposalSubheading"/>
        <w:keepNext/>
        <w:spacing w:before="140" w:after="80"/>
      </w:pPr>
      <w:r>
        <w:rPr>
          <w:b/>
        </w:rPr>
        <w:t>Exclusions</w:t>
      </w:r>
    </w:p>
    <w:p>
      <w:pPr>
        <w:spacing w:after="100" w:line="259" w:lineRule="auto"/>
      </w:pPr>
      <w:r>
        <w:t>The following aspects of the potential project are explicitly out of scope unless later agreed through formal scope control:</w:t>
      </w:r>
    </w:p>
    <w:p>
      <w:pPr>
        <w:pStyle w:val="ListBullet"/>
        <w:spacing w:after="40"/>
        <w:ind w:left="312" w:hanging="142"/>
      </w:pPr>
      <w:r>
        <w:rPr>
          <w:sz w:val="20"/>
        </w:rPr>
        <w:t>Deployment of a production, 24/7 monitoring platform within live building-management infrastructure.</w:t>
      </w:r>
    </w:p>
    <w:p>
      <w:pPr>
        <w:pStyle w:val="ListBullet"/>
        <w:spacing w:after="40"/>
        <w:ind w:left="312" w:hanging="142"/>
      </w:pPr>
      <w:r>
        <w:rPr>
          <w:sz w:val="20"/>
        </w:rPr>
        <w:t>Direct control of physical building equipment or automated execution of security responses.</w:t>
      </w:r>
    </w:p>
    <w:p>
      <w:pPr>
        <w:pStyle w:val="ListBullet"/>
        <w:spacing w:after="40"/>
        <w:ind w:left="312" w:hanging="142"/>
      </w:pPr>
      <w:r>
        <w:rPr>
          <w:sz w:val="20"/>
        </w:rPr>
        <w:t>Replacement of existing building-management, access-control, security information or maintenance systems.</w:t>
      </w:r>
    </w:p>
    <w:p>
      <w:pPr>
        <w:pStyle w:val="ListBullet"/>
        <w:spacing w:after="40"/>
        <w:ind w:left="312" w:hanging="142"/>
      </w:pPr>
      <w:r>
        <w:rPr>
          <w:sz w:val="20"/>
        </w:rPr>
        <w:t>Procurement or installation of new sensors, controllers, networking equipment or other building hardware.</w:t>
      </w:r>
    </w:p>
    <w:p>
      <w:pPr>
        <w:pStyle w:val="ListBullet"/>
        <w:spacing w:after="40"/>
        <w:ind w:left="312" w:hanging="142"/>
      </w:pPr>
      <w:r>
        <w:rPr>
          <w:sz w:val="20"/>
        </w:rPr>
        <w:t>Long-term collection of new operational data beyond the project period.</w:t>
      </w:r>
    </w:p>
    <w:p>
      <w:pPr>
        <w:pStyle w:val="ListBullet"/>
        <w:spacing w:after="40"/>
        <w:ind w:left="312" w:hanging="142"/>
      </w:pPr>
      <w:r>
        <w:rPr>
          <w:sz w:val="20"/>
        </w:rPr>
        <w:t>Formal cybersecurity penetration testing, vulnerability exploitation or forensic investigation.</w:t>
      </w:r>
    </w:p>
    <w:p>
      <w:pPr>
        <w:pStyle w:val="ListBullet"/>
        <w:spacing w:after="40"/>
        <w:ind w:left="312" w:hanging="142"/>
      </w:pPr>
      <w:r>
        <w:rPr>
          <w:sz w:val="20"/>
        </w:rPr>
        <w:t>Guaranteeing prediction of all future equipment failures or security incidents; the project is an analytical investigation and prototype evaluation.</w:t>
      </w:r>
    </w:p>
    <w:p>
      <w:pPr>
        <w:pStyle w:val="Heading1"/>
        <w:keepNext/>
        <w:spacing w:before="200" w:after="100"/>
      </w:pPr>
      <w:r>
        <w:rPr>
          <w:b/>
        </w:rPr>
        <w:t>3. Risks</w:t>
      </w:r>
    </w:p>
    <w:p>
      <w:pPr>
        <w:spacing w:after="100" w:line="259" w:lineRule="auto"/>
      </w:pPr>
      <w:r>
        <w:t>The most significant project risks arise from the quality and heterogeneity of operational logs, the possible absence of reliable anomaly labels, and restrictions associated with access to security-sensitive building data. These risks affect both model validity and schedule. The project will therefore use an early data audit, maintain baseline methods, document uncertainty explicitly and avoid dependence on any single modelling technique.</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trPr>
        <w:tc>
          <w:tcPr>
            <w:tcW w:type="dxa" w:w="2267"/>
            <w:vAlign w:val="center"/>
            <w:shd w:fill="2F5597"/>
          </w:tcPr>
          <w:p>
            <w:pPr>
              <w:spacing w:before="0" w:after="0" w:line="240" w:lineRule="auto"/>
              <w:jc w:val="center"/>
            </w:pPr>
            <w:r/>
            <w:r>
              <w:rPr>
                <w:rFonts w:ascii="Aptos" w:hAnsi="Aptos"/>
                <w:b/>
                <w:color w:val="FFFFFF"/>
                <w:sz w:val="16"/>
              </w:rPr>
              <w:t>Risk</w:t>
            </w:r>
          </w:p>
        </w:tc>
        <w:tc>
          <w:tcPr>
            <w:tcW w:type="dxa" w:w="1247"/>
            <w:vAlign w:val="center"/>
            <w:shd w:fill="2F5597"/>
          </w:tcPr>
          <w:p>
            <w:pPr>
              <w:spacing w:before="0" w:after="0" w:line="240" w:lineRule="auto"/>
              <w:jc w:val="center"/>
            </w:pPr>
            <w:r/>
            <w:r>
              <w:rPr>
                <w:rFonts w:ascii="Aptos" w:hAnsi="Aptos"/>
                <w:b/>
                <w:color w:val="FFFFFF"/>
                <w:sz w:val="16"/>
              </w:rPr>
              <w:t>Probability</w:t>
              <w:br/>
              <w:t>(out of 1.0)</w:t>
            </w:r>
          </w:p>
        </w:tc>
        <w:tc>
          <w:tcPr>
            <w:tcW w:type="dxa" w:w="2381"/>
            <w:vAlign w:val="center"/>
            <w:shd w:fill="2F5597"/>
          </w:tcPr>
          <w:p>
            <w:pPr>
              <w:spacing w:before="0" w:after="0" w:line="240" w:lineRule="auto"/>
              <w:jc w:val="center"/>
            </w:pPr>
            <w:r/>
            <w:r>
              <w:rPr>
                <w:rFonts w:ascii="Aptos" w:hAnsi="Aptos"/>
                <w:b/>
                <w:color w:val="FFFFFF"/>
                <w:sz w:val="16"/>
              </w:rPr>
              <w:t>Impact</w:t>
            </w:r>
          </w:p>
        </w:tc>
        <w:tc>
          <w:tcPr>
            <w:tcW w:type="dxa" w:w="4535"/>
            <w:vAlign w:val="center"/>
            <w:shd w:fill="2F5597"/>
          </w:tcPr>
          <w:p>
            <w:pPr>
              <w:spacing w:before="0" w:after="0" w:line="240" w:lineRule="auto"/>
              <w:jc w:val="center"/>
            </w:pPr>
            <w:r/>
            <w:r>
              <w:rPr>
                <w:rFonts w:ascii="Aptos" w:hAnsi="Aptos"/>
                <w:b/>
                <w:color w:val="FFFFFF"/>
                <w:sz w:val="16"/>
              </w:rPr>
              <w:t>Mitigation Strategy</w:t>
            </w:r>
          </w:p>
        </w:tc>
      </w:tr>
      <w:tr>
        <w:trPr>
          <w:cantSplit/>
        </w:trPr>
        <w:tc>
          <w:tcPr>
            <w:tcW w:type="dxa" w:w="2267"/>
            <w:vAlign w:val="center"/>
          </w:tcPr>
          <w:p>
            <w:pPr>
              <w:spacing w:before="0" w:after="0" w:line="240" w:lineRule="auto"/>
            </w:pPr>
            <w:r/>
            <w:r>
              <w:rPr>
                <w:rFonts w:ascii="Aptos" w:hAnsi="Aptos"/>
                <w:b w:val="0"/>
                <w:sz w:val="16"/>
              </w:rPr>
              <w:t>Incomplete, inconsistent or noisy log data</w:t>
            </w:r>
          </w:p>
        </w:tc>
        <w:tc>
          <w:tcPr>
            <w:tcW w:type="dxa" w:w="1247"/>
            <w:vAlign w:val="center"/>
          </w:tcPr>
          <w:p>
            <w:pPr>
              <w:spacing w:before="0" w:after="0" w:line="240" w:lineRule="auto"/>
              <w:jc w:val="center"/>
            </w:pPr>
            <w:r/>
            <w:r>
              <w:rPr>
                <w:rFonts w:ascii="Aptos" w:hAnsi="Aptos"/>
                <w:b w:val="0"/>
                <w:sz w:val="16"/>
              </w:rPr>
              <w:t>0.70</w:t>
            </w:r>
          </w:p>
        </w:tc>
        <w:tc>
          <w:tcPr>
            <w:tcW w:type="dxa" w:w="2381"/>
            <w:vAlign w:val="center"/>
          </w:tcPr>
          <w:p>
            <w:pPr>
              <w:spacing w:before="0" w:after="0" w:line="240" w:lineRule="auto"/>
            </w:pPr>
            <w:r/>
            <w:r>
              <w:rPr>
                <w:rFonts w:ascii="Aptos" w:hAnsi="Aptos"/>
                <w:b w:val="0"/>
                <w:sz w:val="16"/>
              </w:rPr>
              <w:t>High; may add 30-40 hours and reduce model reliability</w:t>
            </w:r>
          </w:p>
        </w:tc>
        <w:tc>
          <w:tcPr>
            <w:tcW w:type="dxa" w:w="4535"/>
            <w:vAlign w:val="center"/>
          </w:tcPr>
          <w:p>
            <w:pPr>
              <w:spacing w:before="0" w:after="0" w:line="240" w:lineRule="auto"/>
            </w:pPr>
            <w:r/>
            <w:r>
              <w:rPr>
                <w:rFonts w:ascii="Aptos" w:hAnsi="Aptos"/>
                <w:b w:val="0"/>
                <w:sz w:val="16"/>
              </w:rPr>
              <w:t>Perform a data-quality audit in Weeks 1-2; define cleaning rules; quantify missingness; preserve raw-to-clean lineage; design features that tolerate partial records.</w:t>
            </w:r>
          </w:p>
        </w:tc>
      </w:tr>
      <w:tr>
        <w:trPr>
          <w:cantSplit/>
        </w:trPr>
        <w:tc>
          <w:tcPr>
            <w:tcW w:type="dxa" w:w="2267"/>
            <w:vAlign w:val="center"/>
          </w:tcPr>
          <w:p>
            <w:pPr>
              <w:spacing w:before="0" w:after="0" w:line="240" w:lineRule="auto"/>
            </w:pPr>
            <w:r/>
            <w:r>
              <w:rPr>
                <w:rFonts w:ascii="Aptos" w:hAnsi="Aptos"/>
                <w:b w:val="0"/>
                <w:sz w:val="16"/>
              </w:rPr>
              <w:t>Delayed or restricted access to sensitive building/security logs</w:t>
            </w:r>
          </w:p>
        </w:tc>
        <w:tc>
          <w:tcPr>
            <w:tcW w:type="dxa" w:w="1247"/>
            <w:vAlign w:val="center"/>
          </w:tcPr>
          <w:p>
            <w:pPr>
              <w:spacing w:before="0" w:after="0" w:line="240" w:lineRule="auto"/>
              <w:jc w:val="center"/>
            </w:pPr>
            <w:r/>
            <w:r>
              <w:rPr>
                <w:rFonts w:ascii="Aptos" w:hAnsi="Aptos"/>
                <w:b w:val="0"/>
                <w:sz w:val="16"/>
              </w:rPr>
              <w:t>0.50</w:t>
            </w:r>
          </w:p>
        </w:tc>
        <w:tc>
          <w:tcPr>
            <w:tcW w:type="dxa" w:w="2381"/>
            <w:vAlign w:val="center"/>
          </w:tcPr>
          <w:p>
            <w:pPr>
              <w:spacing w:before="0" w:after="0" w:line="240" w:lineRule="auto"/>
            </w:pPr>
            <w:r/>
            <w:r>
              <w:rPr>
                <w:rFonts w:ascii="Aptos" w:hAnsi="Aptos"/>
                <w:b w:val="0"/>
                <w:sz w:val="16"/>
              </w:rPr>
              <w:t>High; could delay analysis by up to 2 weeks</w:t>
            </w:r>
          </w:p>
        </w:tc>
        <w:tc>
          <w:tcPr>
            <w:tcW w:type="dxa" w:w="4535"/>
            <w:vAlign w:val="center"/>
          </w:tcPr>
          <w:p>
            <w:pPr>
              <w:spacing w:before="0" w:after="0" w:line="240" w:lineRule="auto"/>
            </w:pPr>
            <w:r/>
            <w:r>
              <w:rPr>
                <w:rFonts w:ascii="Aptos" w:hAnsi="Aptos"/>
                <w:b w:val="0"/>
                <w:sz w:val="16"/>
              </w:rPr>
              <w:t>Confirm access, de-identification and storage requirements immediately; begin with approved samples/synthetic structures; separate the pipeline from specific identifiers.</w:t>
            </w:r>
          </w:p>
        </w:tc>
      </w:tr>
      <w:tr>
        <w:trPr>
          <w:cantSplit/>
        </w:trPr>
        <w:tc>
          <w:tcPr>
            <w:tcW w:type="dxa" w:w="2267"/>
            <w:vAlign w:val="center"/>
          </w:tcPr>
          <w:p>
            <w:pPr>
              <w:spacing w:before="0" w:after="0" w:line="240" w:lineRule="auto"/>
            </w:pPr>
            <w:r/>
            <w:r>
              <w:rPr>
                <w:rFonts w:ascii="Aptos" w:hAnsi="Aptos"/>
                <w:b w:val="0"/>
                <w:sz w:val="16"/>
              </w:rPr>
              <w:t>Few or no trustworthy labels for true anomalies/incidents</w:t>
            </w:r>
          </w:p>
        </w:tc>
        <w:tc>
          <w:tcPr>
            <w:tcW w:type="dxa" w:w="1247"/>
            <w:vAlign w:val="center"/>
          </w:tcPr>
          <w:p>
            <w:pPr>
              <w:spacing w:before="0" w:after="0" w:line="240" w:lineRule="auto"/>
              <w:jc w:val="center"/>
            </w:pPr>
            <w:r/>
            <w:r>
              <w:rPr>
                <w:rFonts w:ascii="Aptos" w:hAnsi="Aptos"/>
                <w:b w:val="0"/>
                <w:sz w:val="16"/>
              </w:rPr>
              <w:t>0.80</w:t>
            </w:r>
          </w:p>
        </w:tc>
        <w:tc>
          <w:tcPr>
            <w:tcW w:type="dxa" w:w="2381"/>
            <w:vAlign w:val="center"/>
          </w:tcPr>
          <w:p>
            <w:pPr>
              <w:spacing w:before="0" w:after="0" w:line="240" w:lineRule="auto"/>
            </w:pPr>
            <w:r/>
            <w:r>
              <w:rPr>
                <w:rFonts w:ascii="Aptos" w:hAnsi="Aptos"/>
                <w:b w:val="0"/>
                <w:sz w:val="16"/>
              </w:rPr>
              <w:t>High; limits conventional accuracy measurement</w:t>
            </w:r>
          </w:p>
        </w:tc>
        <w:tc>
          <w:tcPr>
            <w:tcW w:type="dxa" w:w="4535"/>
            <w:vAlign w:val="center"/>
          </w:tcPr>
          <w:p>
            <w:pPr>
              <w:spacing w:before="0" w:after="0" w:line="240" w:lineRule="auto"/>
            </w:pPr>
            <w:r/>
            <w:r>
              <w:rPr>
                <w:rFonts w:ascii="Aptos" w:hAnsi="Aptos"/>
                <w:b w:val="0"/>
                <w:sz w:val="16"/>
              </w:rPr>
              <w:t>Use unsupervised methods; compare against statistical baselines; inject controlled synthetic anomalies where appropriate; validate representative findings with client/expert review and report uncertainty.</w:t>
            </w:r>
          </w:p>
        </w:tc>
      </w:tr>
      <w:tr>
        <w:trPr>
          <w:cantSplit/>
        </w:trPr>
        <w:tc>
          <w:tcPr>
            <w:tcW w:type="dxa" w:w="2267"/>
            <w:vAlign w:val="center"/>
          </w:tcPr>
          <w:p>
            <w:pPr>
              <w:spacing w:before="0" w:after="0" w:line="240" w:lineRule="auto"/>
            </w:pPr>
            <w:r/>
            <w:r>
              <w:rPr>
                <w:rFonts w:ascii="Aptos" w:hAnsi="Aptos"/>
                <w:b w:val="0"/>
                <w:sz w:val="16"/>
              </w:rPr>
              <w:t>Heterogeneous schemas, clocks and event semantics across systems</w:t>
            </w:r>
          </w:p>
        </w:tc>
        <w:tc>
          <w:tcPr>
            <w:tcW w:type="dxa" w:w="1247"/>
            <w:vAlign w:val="center"/>
          </w:tcPr>
          <w:p>
            <w:pPr>
              <w:spacing w:before="0" w:after="0" w:line="240" w:lineRule="auto"/>
              <w:jc w:val="center"/>
            </w:pPr>
            <w:r/>
            <w:r>
              <w:rPr>
                <w:rFonts w:ascii="Aptos" w:hAnsi="Aptos"/>
                <w:b w:val="0"/>
                <w:sz w:val="16"/>
              </w:rPr>
              <w:t>0.65</w:t>
            </w:r>
          </w:p>
        </w:tc>
        <w:tc>
          <w:tcPr>
            <w:tcW w:type="dxa" w:w="2381"/>
            <w:vAlign w:val="center"/>
          </w:tcPr>
          <w:p>
            <w:pPr>
              <w:spacing w:before="0" w:after="0" w:line="240" w:lineRule="auto"/>
            </w:pPr>
            <w:r/>
            <w:r>
              <w:rPr>
                <w:rFonts w:ascii="Aptos" w:hAnsi="Aptos"/>
                <w:b w:val="0"/>
                <w:sz w:val="16"/>
              </w:rPr>
              <w:t>Medium-High; may add 20-30 hours</w:t>
            </w:r>
          </w:p>
        </w:tc>
        <w:tc>
          <w:tcPr>
            <w:tcW w:type="dxa" w:w="4535"/>
            <w:vAlign w:val="center"/>
          </w:tcPr>
          <w:p>
            <w:pPr>
              <w:spacing w:before="0" w:after="0" w:line="240" w:lineRule="auto"/>
            </w:pPr>
            <w:r/>
            <w:r>
              <w:rPr>
                <w:rFonts w:ascii="Aptos" w:hAnsi="Aptos"/>
                <w:b w:val="0"/>
                <w:sz w:val="16"/>
              </w:rPr>
              <w:t>Create a canonical event schema; normalise timestamps; document source-specific mappings; analyse each subsystem separately before cross-system integration.</w:t>
            </w:r>
          </w:p>
        </w:tc>
      </w:tr>
      <w:tr>
        <w:trPr>
          <w:cantSplit/>
        </w:trPr>
        <w:tc>
          <w:tcPr>
            <w:tcW w:type="dxa" w:w="2267"/>
            <w:vAlign w:val="center"/>
          </w:tcPr>
          <w:p>
            <w:pPr>
              <w:spacing w:before="0" w:after="0" w:line="240" w:lineRule="auto"/>
            </w:pPr>
            <w:r/>
            <w:r>
              <w:rPr>
                <w:rFonts w:ascii="Aptos" w:hAnsi="Aptos"/>
                <w:b w:val="0"/>
                <w:sz w:val="16"/>
              </w:rPr>
              <w:t>Excessive false positives make results operationally unusable</w:t>
            </w:r>
          </w:p>
        </w:tc>
        <w:tc>
          <w:tcPr>
            <w:tcW w:type="dxa" w:w="1247"/>
            <w:vAlign w:val="center"/>
          </w:tcPr>
          <w:p>
            <w:pPr>
              <w:spacing w:before="0" w:after="0" w:line="240" w:lineRule="auto"/>
              <w:jc w:val="center"/>
            </w:pPr>
            <w:r/>
            <w:r>
              <w:rPr>
                <w:rFonts w:ascii="Aptos" w:hAnsi="Aptos"/>
                <w:b w:val="0"/>
                <w:sz w:val="16"/>
              </w:rPr>
              <w:t>0.65</w:t>
            </w:r>
          </w:p>
        </w:tc>
        <w:tc>
          <w:tcPr>
            <w:tcW w:type="dxa" w:w="2381"/>
            <w:vAlign w:val="center"/>
          </w:tcPr>
          <w:p>
            <w:pPr>
              <w:spacing w:before="0" w:after="0" w:line="240" w:lineRule="auto"/>
            </w:pPr>
            <w:r/>
            <w:r>
              <w:rPr>
                <w:rFonts w:ascii="Aptos" w:hAnsi="Aptos"/>
                <w:b w:val="0"/>
                <w:sz w:val="16"/>
              </w:rPr>
              <w:t>High; reduces client value</w:t>
            </w:r>
          </w:p>
        </w:tc>
        <w:tc>
          <w:tcPr>
            <w:tcW w:type="dxa" w:w="4535"/>
            <w:vAlign w:val="center"/>
          </w:tcPr>
          <w:p>
            <w:pPr>
              <w:spacing w:before="0" w:after="0" w:line="240" w:lineRule="auto"/>
            </w:pPr>
            <w:r/>
            <w:r>
              <w:rPr>
                <w:rFonts w:ascii="Aptos" w:hAnsi="Aptos"/>
                <w:b w:val="0"/>
                <w:sz w:val="16"/>
              </w:rPr>
              <w:t>Tune thresholds using validation periods; rank rather than merely flag anomalies; include context and persistence; compare alert volumes and prioritise anomalies by practical significance.</w:t>
            </w:r>
          </w:p>
        </w:tc>
      </w:tr>
      <w:tr>
        <w:trPr>
          <w:cantSplit/>
        </w:trPr>
        <w:tc>
          <w:tcPr>
            <w:tcW w:type="dxa" w:w="2267"/>
            <w:vAlign w:val="center"/>
          </w:tcPr>
          <w:p>
            <w:pPr>
              <w:spacing w:before="0" w:after="0" w:line="240" w:lineRule="auto"/>
            </w:pPr>
            <w:r/>
            <w:r>
              <w:rPr>
                <w:rFonts w:ascii="Aptos" w:hAnsi="Aptos"/>
                <w:b w:val="0"/>
                <w:sz w:val="16"/>
              </w:rPr>
              <w:t>Model overfitting or unstable results across time/building systems</w:t>
            </w:r>
          </w:p>
        </w:tc>
        <w:tc>
          <w:tcPr>
            <w:tcW w:type="dxa" w:w="1247"/>
            <w:vAlign w:val="center"/>
          </w:tcPr>
          <w:p>
            <w:pPr>
              <w:spacing w:before="0" w:after="0" w:line="240" w:lineRule="auto"/>
              <w:jc w:val="center"/>
            </w:pPr>
            <w:r/>
            <w:r>
              <w:rPr>
                <w:rFonts w:ascii="Aptos" w:hAnsi="Aptos"/>
                <w:b w:val="0"/>
                <w:sz w:val="16"/>
              </w:rPr>
              <w:t>0.45</w:t>
            </w:r>
          </w:p>
        </w:tc>
        <w:tc>
          <w:tcPr>
            <w:tcW w:type="dxa" w:w="2381"/>
            <w:vAlign w:val="center"/>
          </w:tcPr>
          <w:p>
            <w:pPr>
              <w:spacing w:before="0" w:after="0" w:line="240" w:lineRule="auto"/>
            </w:pPr>
            <w:r/>
            <w:r>
              <w:rPr>
                <w:rFonts w:ascii="Aptos" w:hAnsi="Aptos"/>
                <w:b w:val="0"/>
                <w:sz w:val="16"/>
              </w:rPr>
              <w:t>Medium-High; may invalidate conclusions</w:t>
            </w:r>
          </w:p>
        </w:tc>
        <w:tc>
          <w:tcPr>
            <w:tcW w:type="dxa" w:w="4535"/>
            <w:vAlign w:val="center"/>
          </w:tcPr>
          <w:p>
            <w:pPr>
              <w:spacing w:before="0" w:after="0" w:line="240" w:lineRule="auto"/>
            </w:pPr>
            <w:r/>
            <w:r>
              <w:rPr>
                <w:rFonts w:ascii="Aptos" w:hAnsi="Aptos"/>
                <w:b w:val="0"/>
                <w:sz w:val="16"/>
              </w:rPr>
              <w:t>Use time-based holdout periods; compare multiple algorithms and seeds; conduct sensitivity analysis; prefer simpler methods when performance is similar.</w:t>
            </w:r>
          </w:p>
        </w:tc>
      </w:tr>
      <w:tr>
        <w:trPr>
          <w:cantSplit/>
        </w:trPr>
        <w:tc>
          <w:tcPr>
            <w:tcW w:type="dxa" w:w="2267"/>
            <w:vAlign w:val="center"/>
          </w:tcPr>
          <w:p>
            <w:pPr>
              <w:spacing w:before="0" w:after="0" w:line="240" w:lineRule="auto"/>
            </w:pPr>
            <w:r/>
            <w:r>
              <w:rPr>
                <w:rFonts w:ascii="Aptos" w:hAnsi="Aptos"/>
                <w:b w:val="0"/>
                <w:sz w:val="16"/>
              </w:rPr>
              <w:t>Scope expansion or uneven team workload</w:t>
            </w:r>
          </w:p>
        </w:tc>
        <w:tc>
          <w:tcPr>
            <w:tcW w:type="dxa" w:w="1247"/>
            <w:vAlign w:val="center"/>
          </w:tcPr>
          <w:p>
            <w:pPr>
              <w:spacing w:before="0" w:after="0" w:line="240" w:lineRule="auto"/>
              <w:jc w:val="center"/>
            </w:pPr>
            <w:r/>
            <w:r>
              <w:rPr>
                <w:rFonts w:ascii="Aptos" w:hAnsi="Aptos"/>
                <w:b w:val="0"/>
                <w:sz w:val="16"/>
              </w:rPr>
              <w:t>0.40</w:t>
            </w:r>
          </w:p>
        </w:tc>
        <w:tc>
          <w:tcPr>
            <w:tcW w:type="dxa" w:w="2381"/>
            <w:vAlign w:val="center"/>
          </w:tcPr>
          <w:p>
            <w:pPr>
              <w:spacing w:before="0" w:after="0" w:line="240" w:lineRule="auto"/>
            </w:pPr>
            <w:r/>
            <w:r>
              <w:rPr>
                <w:rFonts w:ascii="Aptos" w:hAnsi="Aptos"/>
                <w:b w:val="0"/>
                <w:sz w:val="16"/>
              </w:rPr>
              <w:t>Medium; could add 20-25 hours or delay milestones</w:t>
            </w:r>
          </w:p>
        </w:tc>
        <w:tc>
          <w:tcPr>
            <w:tcW w:type="dxa" w:w="4535"/>
            <w:vAlign w:val="center"/>
          </w:tcPr>
          <w:p>
            <w:pPr>
              <w:spacing w:before="0" w:after="0" w:line="240" w:lineRule="auto"/>
            </w:pPr>
            <w:r/>
            <w:r>
              <w:rPr>
                <w:rFonts w:ascii="Aptos" w:hAnsi="Aptos"/>
                <w:b w:val="0"/>
                <w:sz w:val="16"/>
              </w:rPr>
              <w:t>Maintain a defined backlog and weekly milestone review; assign clear workstream owners; use code review and shared documentation; escalate scope changes to the mentor/client before implementation.</w:t>
            </w:r>
          </w:p>
        </w:tc>
      </w:tr>
    </w:tbl>
    <w:p>
      <w:pPr>
        <w:pStyle w:val="Heading1"/>
        <w:keepNext/>
        <w:spacing w:before="200" w:after="100"/>
      </w:pPr>
      <w:r>
        <w:rPr>
          <w:b/>
        </w:rPr>
        <w:t>4. Budget</w:t>
      </w:r>
    </w:p>
    <w:p>
      <w:pPr>
        <w:spacing w:after="100" w:line="259" w:lineRule="auto"/>
      </w:pPr>
      <w:r>
        <w:t>The project is designed to minimise direct expenditure by using existing student/organisational computing resources and open-source software. Actual project expenditure and hypothetical labour-value estimates are separated below. Any optional expenditure will require client/mentor approval before commitment.</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3458"/>
            <w:vAlign w:val="center"/>
            <w:shd w:fill="2F5597"/>
          </w:tcPr>
          <w:p>
            <w:pPr>
              <w:spacing w:before="0" w:after="0" w:line="240" w:lineRule="auto"/>
              <w:jc w:val="center"/>
            </w:pPr>
            <w:r/>
            <w:r>
              <w:rPr>
                <w:rFonts w:ascii="Aptos" w:hAnsi="Aptos"/>
                <w:b/>
                <w:color w:val="FFFFFF"/>
                <w:sz w:val="17"/>
              </w:rPr>
              <w:t>Budget Item</w:t>
            </w:r>
          </w:p>
        </w:tc>
        <w:tc>
          <w:tcPr>
            <w:tcW w:type="dxa" w:w="2267"/>
            <w:vAlign w:val="center"/>
            <w:shd w:fill="2F5597"/>
          </w:tcPr>
          <w:p>
            <w:pPr>
              <w:spacing w:before="0" w:after="0" w:line="240" w:lineRule="auto"/>
              <w:jc w:val="center"/>
            </w:pPr>
            <w:r/>
            <w:r>
              <w:rPr>
                <w:rFonts w:ascii="Aptos" w:hAnsi="Aptos"/>
                <w:b/>
                <w:color w:val="FFFFFF"/>
                <w:sz w:val="17"/>
              </w:rPr>
              <w:t>Estimated Cost</w:t>
            </w:r>
          </w:p>
        </w:tc>
        <w:tc>
          <w:tcPr>
            <w:tcW w:type="dxa" w:w="4705"/>
            <w:vAlign w:val="center"/>
            <w:shd w:fill="2F5597"/>
          </w:tcPr>
          <w:p>
            <w:pPr>
              <w:spacing w:before="0" w:after="0" w:line="240" w:lineRule="auto"/>
              <w:jc w:val="center"/>
            </w:pPr>
            <w:r/>
            <w:r>
              <w:rPr>
                <w:rFonts w:ascii="Aptos" w:hAnsi="Aptos"/>
                <w:b/>
                <w:color w:val="FFFFFF"/>
                <w:sz w:val="17"/>
              </w:rPr>
              <w:t>Justification</w:t>
            </w:r>
          </w:p>
        </w:tc>
      </w:tr>
      <w:tr>
        <w:trPr>
          <w:cantSplit/>
        </w:trPr>
        <w:tc>
          <w:tcPr>
            <w:tcW w:type="dxa" w:w="3458"/>
            <w:vAlign w:val="center"/>
          </w:tcPr>
          <w:p>
            <w:pPr>
              <w:spacing w:before="0" w:after="0" w:line="240" w:lineRule="auto"/>
            </w:pPr>
            <w:r/>
            <w:r>
              <w:rPr>
                <w:rFonts w:ascii="Aptos" w:hAnsi="Aptos"/>
                <w:b w:val="0"/>
                <w:sz w:val="16"/>
              </w:rPr>
              <w:t>Python/R and open-source analytics libraries</w:t>
            </w:r>
          </w:p>
        </w:tc>
        <w:tc>
          <w:tcPr>
            <w:tcW w:type="dxa" w:w="2267"/>
            <w:vAlign w:val="center"/>
          </w:tcPr>
          <w:p>
            <w:pPr>
              <w:spacing w:before="0" w:after="0" w:line="240" w:lineRule="auto"/>
            </w:pPr>
            <w:r/>
            <w:r>
              <w:rPr>
                <w:rFonts w:ascii="Aptos" w:hAnsi="Aptos"/>
                <w:b w:val="0"/>
                <w:sz w:val="16"/>
              </w:rPr>
              <w:t>AUD 0 (actual)</w:t>
            </w:r>
          </w:p>
        </w:tc>
        <w:tc>
          <w:tcPr>
            <w:tcW w:type="dxa" w:w="4705"/>
            <w:vAlign w:val="center"/>
          </w:tcPr>
          <w:p>
            <w:pPr>
              <w:spacing w:before="0" w:after="0" w:line="240" w:lineRule="auto"/>
            </w:pPr>
            <w:r/>
            <w:r>
              <w:rPr>
                <w:rFonts w:ascii="Aptos" w:hAnsi="Aptos"/>
                <w:b w:val="0"/>
                <w:sz w:val="16"/>
              </w:rPr>
              <w:t>No licence fee is expected for the core programming, data preparation, visualisation and machine-learning toolchain.</w:t>
            </w:r>
          </w:p>
        </w:tc>
      </w:tr>
      <w:tr>
        <w:trPr>
          <w:cantSplit/>
        </w:trPr>
        <w:tc>
          <w:tcPr>
            <w:tcW w:type="dxa" w:w="3458"/>
            <w:vAlign w:val="center"/>
          </w:tcPr>
          <w:p>
            <w:pPr>
              <w:spacing w:before="0" w:after="0" w:line="240" w:lineRule="auto"/>
            </w:pPr>
            <w:r/>
            <w:r>
              <w:rPr>
                <w:rFonts w:ascii="Aptos" w:hAnsi="Aptos"/>
                <w:b w:val="0"/>
                <w:sz w:val="16"/>
              </w:rPr>
              <w:t>Existing student/university/host computing resources</w:t>
            </w:r>
          </w:p>
        </w:tc>
        <w:tc>
          <w:tcPr>
            <w:tcW w:type="dxa" w:w="2267"/>
            <w:vAlign w:val="center"/>
          </w:tcPr>
          <w:p>
            <w:pPr>
              <w:spacing w:before="0" w:after="0" w:line="240" w:lineRule="auto"/>
            </w:pPr>
            <w:r/>
            <w:r>
              <w:rPr>
                <w:rFonts w:ascii="Aptos" w:hAnsi="Aptos"/>
                <w:b w:val="0"/>
                <w:sz w:val="16"/>
              </w:rPr>
              <w:t>AUD 0 incremental (actual)</w:t>
            </w:r>
          </w:p>
        </w:tc>
        <w:tc>
          <w:tcPr>
            <w:tcW w:type="dxa" w:w="4705"/>
            <w:vAlign w:val="center"/>
          </w:tcPr>
          <w:p>
            <w:pPr>
              <w:spacing w:before="0" w:after="0" w:line="240" w:lineRule="auto"/>
            </w:pPr>
            <w:r/>
            <w:r>
              <w:rPr>
                <w:rFonts w:ascii="Aptos" w:hAnsi="Aptos"/>
                <w:b w:val="0"/>
                <w:sz w:val="16"/>
              </w:rPr>
              <w:t>The project will use available laptops, university facilities or approved host resources where practical.</w:t>
            </w:r>
          </w:p>
        </w:tc>
      </w:tr>
      <w:tr>
        <w:trPr>
          <w:cantSplit/>
        </w:trPr>
        <w:tc>
          <w:tcPr>
            <w:tcW w:type="dxa" w:w="3458"/>
            <w:vAlign w:val="center"/>
          </w:tcPr>
          <w:p>
            <w:pPr>
              <w:spacing w:before="0" w:after="0" w:line="240" w:lineRule="auto"/>
            </w:pPr>
            <w:r/>
            <w:r>
              <w:rPr>
                <w:rFonts w:ascii="Aptos" w:hAnsi="Aptos"/>
                <w:b w:val="0"/>
                <w:sz w:val="16"/>
              </w:rPr>
              <w:t>Secure project storage using approved existing services</w:t>
            </w:r>
          </w:p>
        </w:tc>
        <w:tc>
          <w:tcPr>
            <w:tcW w:type="dxa" w:w="2267"/>
            <w:vAlign w:val="center"/>
          </w:tcPr>
          <w:p>
            <w:pPr>
              <w:spacing w:before="0" w:after="0" w:line="240" w:lineRule="auto"/>
            </w:pPr>
            <w:r/>
            <w:r>
              <w:rPr>
                <w:rFonts w:ascii="Aptos" w:hAnsi="Aptos"/>
                <w:b w:val="0"/>
                <w:sz w:val="16"/>
              </w:rPr>
              <w:t>AUD 0 incremental (actual)</w:t>
            </w:r>
          </w:p>
        </w:tc>
        <w:tc>
          <w:tcPr>
            <w:tcW w:type="dxa" w:w="4705"/>
            <w:vAlign w:val="center"/>
          </w:tcPr>
          <w:p>
            <w:pPr>
              <w:spacing w:before="0" w:after="0" w:line="240" w:lineRule="auto"/>
            </w:pPr>
            <w:r/>
            <w:r>
              <w:rPr>
                <w:rFonts w:ascii="Aptos" w:hAnsi="Aptos"/>
                <w:b w:val="0"/>
                <w:sz w:val="16"/>
              </w:rPr>
              <w:t>Use organisation/university-approved storage already available to the project; no new storage purchase is assumed.</w:t>
            </w:r>
          </w:p>
        </w:tc>
      </w:tr>
      <w:tr>
        <w:trPr>
          <w:cantSplit/>
        </w:trPr>
        <w:tc>
          <w:tcPr>
            <w:tcW w:type="dxa" w:w="3458"/>
            <w:vAlign w:val="center"/>
          </w:tcPr>
          <w:p>
            <w:pPr>
              <w:spacing w:before="0" w:after="0" w:line="240" w:lineRule="auto"/>
            </w:pPr>
            <w:r/>
            <w:r>
              <w:rPr>
                <w:rFonts w:ascii="Aptos" w:hAnsi="Aptos"/>
                <w:b w:val="0"/>
                <w:sz w:val="16"/>
              </w:rPr>
              <w:t>Optional cloud compute contingency</w:t>
            </w:r>
          </w:p>
        </w:tc>
        <w:tc>
          <w:tcPr>
            <w:tcW w:type="dxa" w:w="2267"/>
            <w:vAlign w:val="center"/>
          </w:tcPr>
          <w:p>
            <w:pPr>
              <w:spacing w:before="0" w:after="0" w:line="240" w:lineRule="auto"/>
            </w:pPr>
            <w:r/>
            <w:r>
              <w:rPr>
                <w:rFonts w:ascii="Aptos" w:hAnsi="Aptos"/>
                <w:b w:val="0"/>
                <w:sz w:val="16"/>
              </w:rPr>
              <w:t>Up to AUD 200 (potential actual)</w:t>
            </w:r>
          </w:p>
        </w:tc>
        <w:tc>
          <w:tcPr>
            <w:tcW w:type="dxa" w:w="4705"/>
            <w:vAlign w:val="center"/>
          </w:tcPr>
          <w:p>
            <w:pPr>
              <w:spacing w:before="0" w:after="0" w:line="240" w:lineRule="auto"/>
            </w:pPr>
            <w:r/>
            <w:r>
              <w:rPr>
                <w:rFonts w:ascii="Aptos" w:hAnsi="Aptos"/>
                <w:b w:val="0"/>
                <w:sz w:val="16"/>
              </w:rPr>
              <w:t>Only if local or approved existing resources are insufficient for selected experiments; expenditure is not assumed unless approved.</w:t>
            </w:r>
          </w:p>
        </w:tc>
      </w:tr>
      <w:tr>
        <w:trPr>
          <w:cantSplit/>
        </w:trPr>
        <w:tc>
          <w:tcPr>
            <w:tcW w:type="dxa" w:w="3458"/>
            <w:vAlign w:val="center"/>
          </w:tcPr>
          <w:p>
            <w:pPr>
              <w:spacing w:before="0" w:after="0" w:line="240" w:lineRule="auto"/>
            </w:pPr>
            <w:r/>
            <w:r>
              <w:rPr>
                <w:rFonts w:ascii="Aptos" w:hAnsi="Aptos"/>
                <w:b w:val="0"/>
                <w:sz w:val="16"/>
              </w:rPr>
              <w:t>Student project effort: 5 members x 8 h/week x 10 weeks = 400 h</w:t>
            </w:r>
          </w:p>
        </w:tc>
        <w:tc>
          <w:tcPr>
            <w:tcW w:type="dxa" w:w="2267"/>
            <w:vAlign w:val="center"/>
          </w:tcPr>
          <w:p>
            <w:pPr>
              <w:spacing w:before="0" w:after="0" w:line="240" w:lineRule="auto"/>
            </w:pPr>
            <w:r/>
            <w:r>
              <w:rPr>
                <w:rFonts w:ascii="Aptos" w:hAnsi="Aptos"/>
                <w:b w:val="0"/>
                <w:sz w:val="16"/>
              </w:rPr>
              <w:t>AUD 16,000 (hypothetical)</w:t>
            </w:r>
          </w:p>
        </w:tc>
        <w:tc>
          <w:tcPr>
            <w:tcW w:type="dxa" w:w="4705"/>
            <w:vAlign w:val="center"/>
          </w:tcPr>
          <w:p>
            <w:pPr>
              <w:spacing w:before="0" w:after="0" w:line="240" w:lineRule="auto"/>
            </w:pPr>
            <w:r/>
            <w:r>
              <w:rPr>
                <w:rFonts w:ascii="Aptos" w:hAnsi="Aptos"/>
                <w:b w:val="0"/>
                <w:sz w:val="16"/>
              </w:rPr>
              <w:t>Illustrative labour value at AUD 40/hour. This is not an expected cash cost to Smart Facilities SA.</w:t>
            </w:r>
          </w:p>
        </w:tc>
      </w:tr>
      <w:tr>
        <w:trPr>
          <w:cantSplit/>
        </w:trPr>
        <w:tc>
          <w:tcPr>
            <w:tcW w:type="dxa" w:w="3458"/>
            <w:vAlign w:val="center"/>
          </w:tcPr>
          <w:p>
            <w:pPr>
              <w:spacing w:before="0" w:after="0" w:line="240" w:lineRule="auto"/>
            </w:pPr>
            <w:r/>
            <w:r>
              <w:rPr>
                <w:rFonts w:ascii="Aptos" w:hAnsi="Aptos"/>
                <w:b w:val="0"/>
                <w:sz w:val="16"/>
              </w:rPr>
              <w:t>Presentation / final handover materials</w:t>
            </w:r>
          </w:p>
        </w:tc>
        <w:tc>
          <w:tcPr>
            <w:tcW w:type="dxa" w:w="2267"/>
            <w:vAlign w:val="center"/>
          </w:tcPr>
          <w:p>
            <w:pPr>
              <w:spacing w:before="0" w:after="0" w:line="240" w:lineRule="auto"/>
            </w:pPr>
            <w:r/>
            <w:r>
              <w:rPr>
                <w:rFonts w:ascii="Aptos" w:hAnsi="Aptos"/>
                <w:b w:val="0"/>
                <w:sz w:val="16"/>
              </w:rPr>
              <w:t>AUD 0-50 (potential actual)</w:t>
            </w:r>
          </w:p>
        </w:tc>
        <w:tc>
          <w:tcPr>
            <w:tcW w:type="dxa" w:w="4705"/>
            <w:vAlign w:val="center"/>
          </w:tcPr>
          <w:p>
            <w:pPr>
              <w:spacing w:before="0" w:after="0" w:line="240" w:lineRule="auto"/>
            </w:pPr>
            <w:r/>
            <w:r>
              <w:rPr>
                <w:rFonts w:ascii="Aptos" w:hAnsi="Aptos"/>
                <w:b w:val="0"/>
                <w:sz w:val="16"/>
              </w:rPr>
              <w:t>Electronic delivery is preferred; small printing or presentation costs may arise only if required.</w:t>
            </w:r>
          </w:p>
        </w:tc>
      </w:tr>
      <w:tr>
        <w:trPr>
          <w:cantSplit/>
        </w:trPr>
        <w:tc>
          <w:tcPr>
            <w:tcW w:type="dxa" w:w="3458"/>
            <w:vAlign w:val="center"/>
          </w:tcPr>
          <w:p>
            <w:pPr>
              <w:spacing w:before="0" w:after="0" w:line="240" w:lineRule="auto"/>
            </w:pPr>
            <w:r/>
            <w:r>
              <w:rPr>
                <w:rFonts w:ascii="Aptos" w:hAnsi="Aptos"/>
                <w:b w:val="0"/>
                <w:sz w:val="16"/>
              </w:rPr>
              <w:t>Estimated mandatory cash cost</w:t>
            </w:r>
          </w:p>
        </w:tc>
        <w:tc>
          <w:tcPr>
            <w:tcW w:type="dxa" w:w="2267"/>
            <w:vAlign w:val="center"/>
          </w:tcPr>
          <w:p>
            <w:pPr>
              <w:spacing w:before="0" w:after="0" w:line="240" w:lineRule="auto"/>
            </w:pPr>
            <w:r/>
            <w:r>
              <w:rPr>
                <w:rFonts w:ascii="Aptos" w:hAnsi="Aptos"/>
                <w:b w:val="0"/>
                <w:sz w:val="16"/>
              </w:rPr>
              <w:t>AUD 0</w:t>
            </w:r>
          </w:p>
        </w:tc>
        <w:tc>
          <w:tcPr>
            <w:tcW w:type="dxa" w:w="4705"/>
            <w:vAlign w:val="center"/>
          </w:tcPr>
          <w:p>
            <w:pPr>
              <w:spacing w:before="0" w:after="0" w:line="240" w:lineRule="auto"/>
            </w:pPr>
            <w:r/>
            <w:r>
              <w:rPr>
                <w:rFonts w:ascii="Aptos" w:hAnsi="Aptos"/>
                <w:b w:val="0"/>
                <w:sz w:val="16"/>
              </w:rPr>
              <w:t>The planned project can be completed using open-source software and existing resources, subject to data-access and computing arrangements.</w:t>
            </w:r>
          </w:p>
        </w:tc>
      </w:tr>
    </w:tbl>
    <w:p>
      <w:pPr>
        <w:pStyle w:val="Heading1"/>
        <w:keepNext/>
        <w:spacing w:before="200" w:after="100"/>
      </w:pPr>
      <w:r>
        <w:rPr>
          <w:b/>
        </w:rPr>
        <w:t>5. Roles and Responsibilities</w:t>
      </w:r>
    </w:p>
    <w:p>
      <w:pPr>
        <w:spacing w:after="100" w:line="259" w:lineRule="auto"/>
      </w:pPr>
      <w:r>
        <w:t>The allocation below reflects the tasks assigned and completed by each team member during Week 1. Responsibilities are distributed so that the team covers the main early-stage needs of the project: anomaly-detection research, smart-building log and data-quality analysis, requirements and risk identification, scope and deliverable definition, and project scheduling. This allocation gives each member a clear area of ownership while all members remain jointly responsible for integration, review and final project quality.</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2232"/>
            <w:vAlign w:val="center"/>
            <w:shd w:fill="2F5597"/>
          </w:tcPr>
          <w:p>
            <w:pPr>
              <w:spacing w:before="0" w:after="40" w:line="240" w:lineRule="auto"/>
              <w:jc w:val="center"/>
            </w:pPr>
            <w:r>
              <w:rPr>
                <w:b/>
                <w:sz w:val="18"/>
              </w:rPr>
              <w:t>Team Member</w:t>
            </w:r>
          </w:p>
        </w:tc>
        <w:tc>
          <w:tcPr>
            <w:tcW w:type="dxa" w:w="2232"/>
            <w:vAlign w:val="center"/>
            <w:shd w:fill="2F5597"/>
          </w:tcPr>
          <w:p>
            <w:pPr>
              <w:spacing w:before="0" w:after="40" w:line="240" w:lineRule="auto"/>
              <w:jc w:val="center"/>
            </w:pPr>
            <w:r>
              <w:rPr>
                <w:b/>
                <w:sz w:val="18"/>
              </w:rPr>
              <w:t>Primary Role / Focus</w:t>
            </w:r>
          </w:p>
        </w:tc>
        <w:tc>
          <w:tcPr>
            <w:tcW w:type="dxa" w:w="4608"/>
            <w:vAlign w:val="center"/>
            <w:shd w:fill="2F5597"/>
          </w:tcPr>
          <w:p>
            <w:pPr>
              <w:spacing w:before="0" w:after="40" w:line="240" w:lineRule="auto"/>
              <w:jc w:val="center"/>
            </w:pPr>
            <w:r>
              <w:rPr>
                <w:b/>
                <w:sz w:val="18"/>
              </w:rPr>
              <w:t>Responsibilities</w:t>
            </w:r>
          </w:p>
        </w:tc>
      </w:tr>
      <w:tr>
        <w:tc>
          <w:tcPr>
            <w:tcW w:type="dxa" w:w="2232"/>
            <w:vAlign w:val="top"/>
          </w:tcPr>
          <w:p>
            <w:pPr>
              <w:spacing w:before="0" w:after="40" w:line="240" w:lineRule="auto"/>
            </w:pPr>
            <w:r>
              <w:rPr>
                <w:sz w:val="17"/>
              </w:rPr>
              <w:t>Huaye Qi (Qi)</w:t>
              <w:br/>
              <w:t>a1948935</w:t>
            </w:r>
          </w:p>
        </w:tc>
        <w:tc>
          <w:tcPr>
            <w:tcW w:type="dxa" w:w="2232"/>
            <w:vAlign w:val="top"/>
          </w:tcPr>
          <w:p>
            <w:pPr>
              <w:spacing w:before="0" w:after="40" w:line="240" w:lineRule="auto"/>
            </w:pPr>
            <w:r>
              <w:rPr>
                <w:sz w:val="17"/>
              </w:rPr>
              <w:t>Anomaly-Detection Research</w:t>
            </w:r>
          </w:p>
        </w:tc>
        <w:tc>
          <w:tcPr>
            <w:tcW w:type="dxa" w:w="4608"/>
            <w:vAlign w:val="top"/>
          </w:tcPr>
          <w:p>
            <w:pPr>
              <w:spacing w:after="40" w:before="0" w:line="240" w:lineRule="auto"/>
            </w:pPr>
            <w:r>
              <w:rPr>
                <w:sz w:val="17"/>
              </w:rPr>
              <w:t>• Research anomaly-detection approaches that may be suitable for smart-building log analysis.</w:t>
            </w:r>
          </w:p>
          <w:p>
            <w:pPr>
              <w:spacing w:after="40" w:before="0" w:line="240" w:lineRule="auto"/>
            </w:pPr>
            <w:r>
              <w:rPr>
                <w:sz w:val="17"/>
              </w:rPr>
              <w:t>• Compare several potential methods, including statistical and machine-learning approaches.</w:t>
            </w:r>
          </w:p>
          <w:p>
            <w:pPr>
              <w:spacing w:after="40" w:before="0" w:line="240" w:lineRule="auto"/>
            </w:pPr>
            <w:r>
              <w:rPr>
                <w:sz w:val="17"/>
              </w:rPr>
              <w:t>• Investigate suitable Python or R tools and libraries for future implementation.</w:t>
            </w:r>
          </w:p>
          <w:p>
            <w:pPr>
              <w:spacing w:after="40" w:before="0" w:line="240" w:lineRule="auto"/>
            </w:pPr>
            <w:r>
              <w:rPr>
                <w:sz w:val="17"/>
              </w:rPr>
              <w:t>• Summarise the advantages and limitations of the investigated methods.</w:t>
            </w:r>
          </w:p>
        </w:tc>
      </w:tr>
      <w:tr>
        <w:tc>
          <w:tcPr>
            <w:tcW w:type="dxa" w:w="2232"/>
            <w:vAlign w:val="top"/>
          </w:tcPr>
          <w:p>
            <w:pPr>
              <w:spacing w:before="0" w:after="40" w:line="240" w:lineRule="auto"/>
            </w:pPr>
            <w:r>
              <w:rPr>
                <w:sz w:val="17"/>
              </w:rPr>
              <w:t>Yongli Jiang (Lee)</w:t>
              <w:br/>
              <w:t>a1906489</w:t>
            </w:r>
          </w:p>
        </w:tc>
        <w:tc>
          <w:tcPr>
            <w:tcW w:type="dxa" w:w="2232"/>
            <w:vAlign w:val="top"/>
          </w:tcPr>
          <w:p>
            <w:pPr>
              <w:spacing w:before="0" w:after="40" w:line="240" w:lineRule="auto"/>
            </w:pPr>
            <w:r>
              <w:rPr>
                <w:sz w:val="17"/>
              </w:rPr>
              <w:t>Smart-Building Log and Data Research</w:t>
            </w:r>
          </w:p>
        </w:tc>
        <w:tc>
          <w:tcPr>
            <w:tcW w:type="dxa" w:w="4608"/>
            <w:vAlign w:val="top"/>
          </w:tcPr>
          <w:p>
            <w:pPr>
              <w:spacing w:after="40" w:before="0" w:line="240" w:lineRule="auto"/>
            </w:pPr>
            <w:r>
              <w:rPr>
                <w:sz w:val="17"/>
              </w:rPr>
              <w:t>• Research common types of smart-building logs relevant to the project.</w:t>
            </w:r>
          </w:p>
          <w:p>
            <w:pPr>
              <w:spacing w:after="40" w:before="0" w:line="240" w:lineRule="auto"/>
            </w:pPr>
            <w:r>
              <w:rPr>
                <w:sz w:val="17"/>
              </w:rPr>
              <w:t>• Investigate typical data fields and formats used in access-control, HVAC, sensor and power-management logs.</w:t>
            </w:r>
          </w:p>
          <w:p>
            <w:pPr>
              <w:spacing w:after="40" w:before="0" w:line="240" w:lineRule="auto"/>
            </w:pPr>
            <w:r>
              <w:rPr>
                <w:sz w:val="17"/>
              </w:rPr>
              <w:t>• Identify potential data-quality issues such as missing values, inconsistent formats and timestamps.</w:t>
            </w:r>
          </w:p>
          <w:p>
            <w:pPr>
              <w:spacing w:after="40" w:before="0" w:line="240" w:lineRule="auto"/>
            </w:pPr>
            <w:r>
              <w:rPr>
                <w:sz w:val="17"/>
              </w:rPr>
              <w:t>• Summarise the findings and possible data requirements for the team.</w:t>
            </w:r>
          </w:p>
        </w:tc>
      </w:tr>
      <w:tr>
        <w:tc>
          <w:tcPr>
            <w:tcW w:type="dxa" w:w="2232"/>
            <w:vAlign w:val="top"/>
          </w:tcPr>
          <w:p>
            <w:pPr>
              <w:spacing w:before="0" w:after="40" w:line="240" w:lineRule="auto"/>
            </w:pPr>
            <w:r>
              <w:rPr>
                <w:sz w:val="17"/>
              </w:rPr>
              <w:t>Jiahao Wang (Gavin)</w:t>
              <w:br/>
              <w:t>a1940040</w:t>
            </w:r>
          </w:p>
        </w:tc>
        <w:tc>
          <w:tcPr>
            <w:tcW w:type="dxa" w:w="2232"/>
            <w:vAlign w:val="top"/>
          </w:tcPr>
          <w:p>
            <w:pPr>
              <w:spacing w:before="0" w:after="40" w:line="240" w:lineRule="auto"/>
            </w:pPr>
            <w:r>
              <w:rPr>
                <w:sz w:val="17"/>
              </w:rPr>
              <w:t>Requirements and Risk Analysis</w:t>
            </w:r>
          </w:p>
        </w:tc>
        <w:tc>
          <w:tcPr>
            <w:tcW w:type="dxa" w:w="4608"/>
            <w:vAlign w:val="top"/>
          </w:tcPr>
          <w:p>
            <w:pPr>
              <w:spacing w:after="40" w:before="0" w:line="240" w:lineRule="auto"/>
            </w:pPr>
            <w:r>
              <w:rPr>
                <w:sz w:val="17"/>
              </w:rPr>
              <w:t>• Identify information that is currently unclear or missing from the project description.</w:t>
            </w:r>
          </w:p>
          <w:p>
            <w:pPr>
              <w:spacing w:after="40" w:before="0" w:line="240" w:lineRule="auto"/>
            </w:pPr>
            <w:r>
              <w:rPr>
                <w:sz w:val="17"/>
              </w:rPr>
              <w:t>• Prepare questions about the dataset, expected outputs and project requirements for discussion with the mentor/client.</w:t>
            </w:r>
          </w:p>
          <w:p>
            <w:pPr>
              <w:spacing w:after="40" w:before="0" w:line="240" w:lineRule="auto"/>
            </w:pPr>
            <w:r>
              <w:rPr>
                <w:sz w:val="17"/>
              </w:rPr>
              <w:t>• Identify initial project risks that may affect project delivery.</w:t>
            </w:r>
          </w:p>
          <w:p>
            <w:pPr>
              <w:spacing w:after="40" w:before="0" w:line="240" w:lineRule="auto"/>
            </w:pPr>
            <w:r>
              <w:rPr>
                <w:sz w:val="17"/>
              </w:rPr>
              <w:t>• Summarise the key questions and risks for the next team meeting.</w:t>
            </w:r>
          </w:p>
        </w:tc>
      </w:tr>
      <w:tr>
        <w:tc>
          <w:tcPr>
            <w:tcW w:type="dxa" w:w="2232"/>
            <w:vAlign w:val="top"/>
          </w:tcPr>
          <w:p>
            <w:pPr>
              <w:spacing w:before="0" w:after="40" w:line="240" w:lineRule="auto"/>
            </w:pPr>
            <w:r>
              <w:rPr>
                <w:sz w:val="17"/>
              </w:rPr>
              <w:t>Meng Zhang (Penelope)</w:t>
              <w:br/>
              <w:t>a1947217</w:t>
            </w:r>
          </w:p>
        </w:tc>
        <w:tc>
          <w:tcPr>
            <w:tcW w:type="dxa" w:w="2232"/>
            <w:vAlign w:val="top"/>
          </w:tcPr>
          <w:p>
            <w:pPr>
              <w:spacing w:before="0" w:after="40" w:line="240" w:lineRule="auto"/>
            </w:pPr>
            <w:r>
              <w:rPr>
                <w:sz w:val="17"/>
              </w:rPr>
              <w:t>Project Scope and Deliverables</w:t>
            </w:r>
          </w:p>
        </w:tc>
        <w:tc>
          <w:tcPr>
            <w:tcW w:type="dxa" w:w="4608"/>
            <w:vAlign w:val="top"/>
          </w:tcPr>
          <w:p>
            <w:pPr>
              <w:spacing w:after="40" w:before="0" w:line="240" w:lineRule="auto"/>
            </w:pPr>
            <w:r>
              <w:rPr>
                <w:sz w:val="17"/>
              </w:rPr>
              <w:t>• Review the project description and identify the main project objectives.</w:t>
            </w:r>
          </w:p>
          <w:p>
            <w:pPr>
              <w:spacing w:after="40" w:before="0" w:line="240" w:lineRule="auto"/>
            </w:pPr>
            <w:r>
              <w:rPr>
                <w:sz w:val="17"/>
              </w:rPr>
              <w:t>• Identify the expected project outcomes and deliverables.</w:t>
            </w:r>
          </w:p>
          <w:p>
            <w:pPr>
              <w:spacing w:after="40" w:before="0" w:line="240" w:lineRule="auto"/>
            </w:pPr>
            <w:r>
              <w:rPr>
                <w:sz w:val="17"/>
              </w:rPr>
              <w:t>• Summarise the overall project scope and key stages of the proposed log-analysis pipeline.</w:t>
            </w:r>
          </w:p>
          <w:p>
            <w:pPr>
              <w:spacing w:after="40" w:before="0" w:line="240" w:lineRule="auto"/>
            </w:pPr>
            <w:r>
              <w:rPr>
                <w:sz w:val="17"/>
              </w:rPr>
              <w:t>• Share the project scope summary with the team for discussion.</w:t>
            </w:r>
          </w:p>
        </w:tc>
      </w:tr>
      <w:tr>
        <w:tc>
          <w:tcPr>
            <w:tcW w:type="dxa" w:w="2232"/>
            <w:vAlign w:val="top"/>
          </w:tcPr>
          <w:p>
            <w:pPr>
              <w:spacing w:before="0" w:after="40" w:line="240" w:lineRule="auto"/>
            </w:pPr>
            <w:r>
              <w:rPr>
                <w:sz w:val="17"/>
              </w:rPr>
              <w:t>Zirui Geng (Roc)</w:t>
              <w:br/>
              <w:t>a1941715</w:t>
            </w:r>
          </w:p>
        </w:tc>
        <w:tc>
          <w:tcPr>
            <w:tcW w:type="dxa" w:w="2232"/>
            <w:vAlign w:val="top"/>
          </w:tcPr>
          <w:p>
            <w:pPr>
              <w:spacing w:before="0" w:after="40" w:line="240" w:lineRule="auto"/>
            </w:pPr>
            <w:r>
              <w:rPr>
                <w:sz w:val="17"/>
              </w:rPr>
              <w:t>Project Schedule and Milestones</w:t>
            </w:r>
          </w:p>
        </w:tc>
        <w:tc>
          <w:tcPr>
            <w:tcW w:type="dxa" w:w="4608"/>
            <w:vAlign w:val="top"/>
          </w:tcPr>
          <w:p>
            <w:pPr>
              <w:spacing w:after="40" w:before="0" w:line="240" w:lineRule="auto"/>
            </w:pPr>
            <w:r>
              <w:rPr>
                <w:sz w:val="17"/>
              </w:rPr>
              <w:t>• Review the course roadmap and identify important project milestones and assessment deadlines.</w:t>
            </w:r>
          </w:p>
          <w:p>
            <w:pPr>
              <w:spacing w:after="40" w:before="0" w:line="240" w:lineRule="auto"/>
            </w:pPr>
            <w:r>
              <w:rPr>
                <w:sz w:val="17"/>
              </w:rPr>
              <w:t>• Develop an initial project timeline covering planning, implementation, evaluation and final reporting.</w:t>
            </w:r>
          </w:p>
          <w:p>
            <w:pPr>
              <w:spacing w:after="40" w:before="0" w:line="240" w:lineRule="auto"/>
            </w:pPr>
            <w:r>
              <w:rPr>
                <w:sz w:val="17"/>
              </w:rPr>
              <w:t>• Identify tasks that should be completed before the Proposal Report and Proposal Presentation.</w:t>
            </w:r>
          </w:p>
          <w:p>
            <w:pPr>
              <w:spacing w:after="40" w:before="0" w:line="240" w:lineRule="auto"/>
            </w:pPr>
            <w:r>
              <w:rPr>
                <w:sz w:val="17"/>
              </w:rPr>
              <w:t>• Share the initial timeline with the team for review.</w:t>
            </w:r>
          </w:p>
        </w:tc>
      </w:tr>
      <w:tr>
        <w:tc>
          <w:tcPr>
            <w:tcW w:type="dxa" w:w="2232"/>
            <w:vAlign w:val="top"/>
          </w:tcPr>
          <w:p>
            <w:pPr>
              <w:spacing w:before="0" w:after="40" w:line="240" w:lineRule="auto"/>
            </w:pPr>
            <w:r>
              <w:rPr>
                <w:sz w:val="17"/>
              </w:rPr>
              <w:t>Wenhao Liang and Abhilash Sridhara</w:t>
            </w:r>
          </w:p>
        </w:tc>
        <w:tc>
          <w:tcPr>
            <w:tcW w:type="dxa" w:w="2232"/>
            <w:vAlign w:val="top"/>
          </w:tcPr>
          <w:p>
            <w:pPr>
              <w:spacing w:before="0" w:after="40" w:line="240" w:lineRule="auto"/>
            </w:pPr>
            <w:r>
              <w:rPr>
                <w:sz w:val="17"/>
              </w:rPr>
              <w:t>Project Mentors</w:t>
            </w:r>
          </w:p>
        </w:tc>
        <w:tc>
          <w:tcPr>
            <w:tcW w:type="dxa" w:w="4608"/>
            <w:vAlign w:val="top"/>
          </w:tcPr>
          <w:p>
            <w:pPr>
              <w:spacing w:after="40" w:before="0" w:line="240" w:lineRule="auto"/>
            </w:pPr>
            <w:r>
              <w:rPr>
                <w:sz w:val="17"/>
              </w:rPr>
              <w:t>Provide academic and methodological guidance, review project progress and assumptions, and advise the team on scope, risks and project direction.</w:t>
            </w:r>
          </w:p>
        </w:tc>
      </w:tr>
      <w:tr>
        <w:tc>
          <w:tcPr>
            <w:tcW w:type="dxa" w:w="2232"/>
            <w:vAlign w:val="top"/>
          </w:tcPr>
          <w:p>
            <w:pPr>
              <w:spacing w:before="0" w:after="40" w:line="240" w:lineRule="auto"/>
            </w:pPr>
            <w:r>
              <w:rPr>
                <w:sz w:val="17"/>
              </w:rPr>
              <w:t>Smart Facilities SA</w:t>
            </w:r>
          </w:p>
        </w:tc>
        <w:tc>
          <w:tcPr>
            <w:tcW w:type="dxa" w:w="2232"/>
            <w:vAlign w:val="top"/>
          </w:tcPr>
          <w:p>
            <w:pPr>
              <w:spacing w:before="0" w:after="40" w:line="240" w:lineRule="auto"/>
            </w:pPr>
            <w:r>
              <w:rPr>
                <w:sz w:val="17"/>
              </w:rPr>
              <w:t>Client / Host Organisation</w:t>
            </w:r>
          </w:p>
        </w:tc>
        <w:tc>
          <w:tcPr>
            <w:tcW w:type="dxa" w:w="4608"/>
            <w:vAlign w:val="top"/>
          </w:tcPr>
          <w:p>
            <w:pPr>
              <w:spacing w:after="40" w:before="0" w:line="240" w:lineRule="auto"/>
            </w:pPr>
            <w:r>
              <w:rPr>
                <w:sz w:val="17"/>
              </w:rPr>
              <w:t>Provide operational context and, where approved, access to relevant smart-building log information; clarify requirements and review the usefulness of project outputs.</w:t>
            </w:r>
          </w:p>
        </w:tc>
      </w:tr>
    </w:tbl>
    <w:p>
      <w:pPr>
        <w:pStyle w:val="ProposalSubheading"/>
        <w:keepNext/>
        <w:spacing w:before="140" w:after="80"/>
      </w:pPr>
      <w:r>
        <w:rPr>
          <w:b/>
        </w:rPr>
        <w:t>Communications Plan</w:t>
      </w:r>
    </w:p>
    <w:p>
      <w:pPr>
        <w:spacing w:after="100" w:line="259" w:lineRule="auto"/>
      </w:pPr>
      <w:r>
        <w:t>The following communication plan is proposed and should be confirmed with the client and mentor in Week 1:</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trPr>
        <w:tc>
          <w:tcPr>
            <w:tcW w:type="dxa" w:w="2154"/>
            <w:vAlign w:val="center"/>
            <w:shd w:fill="2F5597"/>
          </w:tcPr>
          <w:p>
            <w:pPr>
              <w:spacing w:before="0" w:after="0" w:line="240" w:lineRule="auto"/>
              <w:jc w:val="center"/>
            </w:pPr>
            <w:r/>
            <w:r>
              <w:rPr>
                <w:rFonts w:ascii="Aptos" w:hAnsi="Aptos"/>
                <w:b/>
                <w:color w:val="FFFFFF"/>
                <w:sz w:val="16"/>
              </w:rPr>
              <w:t>Stakeholder / Group</w:t>
            </w:r>
          </w:p>
        </w:tc>
        <w:tc>
          <w:tcPr>
            <w:tcW w:type="dxa" w:w="3231"/>
            <w:vAlign w:val="center"/>
            <w:shd w:fill="2F5597"/>
          </w:tcPr>
          <w:p>
            <w:pPr>
              <w:spacing w:before="0" w:after="0" w:line="240" w:lineRule="auto"/>
              <w:jc w:val="center"/>
            </w:pPr>
            <w:r/>
            <w:r>
              <w:rPr>
                <w:rFonts w:ascii="Aptos" w:hAnsi="Aptos"/>
                <w:b/>
                <w:color w:val="FFFFFF"/>
                <w:sz w:val="16"/>
              </w:rPr>
              <w:t>Purpose</w:t>
            </w:r>
          </w:p>
        </w:tc>
        <w:tc>
          <w:tcPr>
            <w:tcW w:type="dxa" w:w="2381"/>
            <w:vAlign w:val="center"/>
            <w:shd w:fill="2F5597"/>
          </w:tcPr>
          <w:p>
            <w:pPr>
              <w:spacing w:before="0" w:after="0" w:line="240" w:lineRule="auto"/>
              <w:jc w:val="center"/>
            </w:pPr>
            <w:r/>
            <w:r>
              <w:rPr>
                <w:rFonts w:ascii="Aptos" w:hAnsi="Aptos"/>
                <w:b/>
                <w:color w:val="FFFFFF"/>
                <w:sz w:val="16"/>
              </w:rPr>
              <w:t>Frequency</w:t>
            </w:r>
          </w:p>
        </w:tc>
        <w:tc>
          <w:tcPr>
            <w:tcW w:type="dxa" w:w="2721"/>
            <w:vAlign w:val="center"/>
            <w:shd w:fill="2F5597"/>
          </w:tcPr>
          <w:p>
            <w:pPr>
              <w:spacing w:before="0" w:after="0" w:line="240" w:lineRule="auto"/>
              <w:jc w:val="center"/>
            </w:pPr>
            <w:r/>
            <w:r>
              <w:rPr>
                <w:rFonts w:ascii="Aptos" w:hAnsi="Aptos"/>
                <w:b/>
                <w:color w:val="FFFFFF"/>
                <w:sz w:val="16"/>
              </w:rPr>
              <w:t>Method</w:t>
            </w:r>
          </w:p>
        </w:tc>
      </w:tr>
      <w:tr>
        <w:trPr>
          <w:cantSplit/>
        </w:trPr>
        <w:tc>
          <w:tcPr>
            <w:tcW w:type="dxa" w:w="2154"/>
            <w:vAlign w:val="center"/>
          </w:tcPr>
          <w:p>
            <w:pPr>
              <w:spacing w:before="0" w:after="0" w:line="240" w:lineRule="auto"/>
            </w:pPr>
            <w:r/>
            <w:r>
              <w:rPr>
                <w:rFonts w:ascii="Aptos" w:hAnsi="Aptos"/>
                <w:b w:val="0"/>
                <w:sz w:val="15"/>
              </w:rPr>
              <w:t>Student team</w:t>
            </w:r>
          </w:p>
        </w:tc>
        <w:tc>
          <w:tcPr>
            <w:tcW w:type="dxa" w:w="3231"/>
            <w:vAlign w:val="center"/>
          </w:tcPr>
          <w:p>
            <w:pPr>
              <w:spacing w:before="0" w:after="0" w:line="240" w:lineRule="auto"/>
            </w:pPr>
            <w:r/>
            <w:r>
              <w:rPr>
                <w:rFonts w:ascii="Aptos" w:hAnsi="Aptos"/>
                <w:b w:val="0"/>
                <w:sz w:val="15"/>
              </w:rPr>
              <w:t>Coordinate tasks, dependencies, code integration and risks</w:t>
            </w:r>
          </w:p>
        </w:tc>
        <w:tc>
          <w:tcPr>
            <w:tcW w:type="dxa" w:w="2381"/>
            <w:vAlign w:val="center"/>
          </w:tcPr>
          <w:p>
            <w:pPr>
              <w:spacing w:before="0" w:after="0" w:line="240" w:lineRule="auto"/>
            </w:pPr>
            <w:r/>
            <w:r>
              <w:rPr>
                <w:rFonts w:ascii="Aptos" w:hAnsi="Aptos"/>
                <w:b w:val="0"/>
                <w:sz w:val="15"/>
              </w:rPr>
              <w:t>Weekly 45-60 minute meeting; asynchronous updates as needed</w:t>
            </w:r>
          </w:p>
        </w:tc>
        <w:tc>
          <w:tcPr>
            <w:tcW w:type="dxa" w:w="2721"/>
            <w:vAlign w:val="center"/>
          </w:tcPr>
          <w:p>
            <w:pPr>
              <w:spacing w:before="0" w:after="0" w:line="240" w:lineRule="auto"/>
            </w:pPr>
            <w:r/>
            <w:r>
              <w:rPr>
                <w:rFonts w:ascii="Aptos" w:hAnsi="Aptos"/>
                <w:b w:val="0"/>
                <w:sz w:val="15"/>
              </w:rPr>
              <w:t>In-person/online meeting plus agreed group chat; shared repository and task board</w:t>
            </w:r>
          </w:p>
        </w:tc>
      </w:tr>
      <w:tr>
        <w:trPr>
          <w:cantSplit/>
        </w:trPr>
        <w:tc>
          <w:tcPr>
            <w:tcW w:type="dxa" w:w="2154"/>
            <w:vAlign w:val="center"/>
          </w:tcPr>
          <w:p>
            <w:pPr>
              <w:spacing w:before="0" w:after="0" w:line="240" w:lineRule="auto"/>
            </w:pPr>
            <w:r/>
            <w:r>
              <w:rPr>
                <w:rFonts w:ascii="Aptos" w:hAnsi="Aptos"/>
                <w:b w:val="0"/>
                <w:sz w:val="15"/>
              </w:rPr>
              <w:t>Smart Facilities SA client representative</w:t>
            </w:r>
          </w:p>
        </w:tc>
        <w:tc>
          <w:tcPr>
            <w:tcW w:type="dxa" w:w="3231"/>
            <w:vAlign w:val="center"/>
          </w:tcPr>
          <w:p>
            <w:pPr>
              <w:spacing w:before="0" w:after="0" w:line="240" w:lineRule="auto"/>
            </w:pPr>
            <w:r/>
            <w:r>
              <w:rPr>
                <w:rFonts w:ascii="Aptos" w:hAnsi="Aptos"/>
                <w:b w:val="0"/>
                <w:sz w:val="15"/>
              </w:rPr>
              <w:t>Confirm requirements, data semantics, operational relevance and decisions</w:t>
            </w:r>
          </w:p>
        </w:tc>
        <w:tc>
          <w:tcPr>
            <w:tcW w:type="dxa" w:w="2381"/>
            <w:vAlign w:val="center"/>
          </w:tcPr>
          <w:p>
            <w:pPr>
              <w:spacing w:before="0" w:after="0" w:line="240" w:lineRule="auto"/>
            </w:pPr>
            <w:r/>
            <w:r>
              <w:rPr>
                <w:rFonts w:ascii="Aptos" w:hAnsi="Aptos"/>
                <w:b w:val="0"/>
                <w:sz w:val="15"/>
              </w:rPr>
              <w:t>Weekly or fortnightly 30-minute checkpoint, with additional questions consolidated asynchronously</w:t>
            </w:r>
          </w:p>
        </w:tc>
        <w:tc>
          <w:tcPr>
            <w:tcW w:type="dxa" w:w="2721"/>
            <w:vAlign w:val="center"/>
          </w:tcPr>
          <w:p>
            <w:pPr>
              <w:spacing w:before="0" w:after="0" w:line="240" w:lineRule="auto"/>
            </w:pPr>
            <w:r/>
            <w:r>
              <w:rPr>
                <w:rFonts w:ascii="Aptos" w:hAnsi="Aptos"/>
                <w:b w:val="0"/>
                <w:sz w:val="15"/>
              </w:rPr>
              <w:t>Online/in-person meeting and email; concise agenda and action log</w:t>
            </w:r>
          </w:p>
        </w:tc>
      </w:tr>
      <w:tr>
        <w:trPr>
          <w:cantSplit/>
        </w:trPr>
        <w:tc>
          <w:tcPr>
            <w:tcW w:type="dxa" w:w="2154"/>
            <w:vAlign w:val="center"/>
          </w:tcPr>
          <w:p>
            <w:pPr>
              <w:spacing w:before="0" w:after="0" w:line="240" w:lineRule="auto"/>
            </w:pPr>
            <w:r/>
            <w:r>
              <w:rPr>
                <w:rFonts w:ascii="Aptos" w:hAnsi="Aptos"/>
                <w:b w:val="0"/>
                <w:sz w:val="15"/>
              </w:rPr>
              <w:t>Project mentor</w:t>
            </w:r>
          </w:p>
        </w:tc>
        <w:tc>
          <w:tcPr>
            <w:tcW w:type="dxa" w:w="3231"/>
            <w:vAlign w:val="center"/>
          </w:tcPr>
          <w:p>
            <w:pPr>
              <w:spacing w:before="0" w:after="0" w:line="240" w:lineRule="auto"/>
            </w:pPr>
            <w:r/>
            <w:r>
              <w:rPr>
                <w:rFonts w:ascii="Aptos" w:hAnsi="Aptos"/>
                <w:b w:val="0"/>
                <w:sz w:val="15"/>
              </w:rPr>
              <w:t>Review methodology, scope, risks and academic progress</w:t>
            </w:r>
          </w:p>
        </w:tc>
        <w:tc>
          <w:tcPr>
            <w:tcW w:type="dxa" w:w="2381"/>
            <w:vAlign w:val="center"/>
          </w:tcPr>
          <w:p>
            <w:pPr>
              <w:spacing w:before="0" w:after="0" w:line="240" w:lineRule="auto"/>
            </w:pPr>
            <w:r/>
            <w:r>
              <w:rPr>
                <w:rFonts w:ascii="Aptos" w:hAnsi="Aptos"/>
                <w:b w:val="0"/>
                <w:sz w:val="15"/>
              </w:rPr>
              <w:t>Weekly or fortnightly checkpoint in line with course arrangements</w:t>
            </w:r>
          </w:p>
        </w:tc>
        <w:tc>
          <w:tcPr>
            <w:tcW w:type="dxa" w:w="2721"/>
            <w:vAlign w:val="center"/>
          </w:tcPr>
          <w:p>
            <w:pPr>
              <w:spacing w:before="0" w:after="0" w:line="240" w:lineRule="auto"/>
            </w:pPr>
            <w:r/>
            <w:r>
              <w:rPr>
                <w:rFonts w:ascii="Aptos" w:hAnsi="Aptos"/>
                <w:b w:val="0"/>
                <w:sz w:val="15"/>
              </w:rPr>
              <w:t>Scheduled meeting and email; milestone artefacts shared before review</w:t>
            </w:r>
          </w:p>
        </w:tc>
      </w:tr>
      <w:tr>
        <w:trPr>
          <w:cantSplit/>
        </w:trPr>
        <w:tc>
          <w:tcPr>
            <w:tcW w:type="dxa" w:w="2154"/>
            <w:vAlign w:val="center"/>
          </w:tcPr>
          <w:p>
            <w:pPr>
              <w:spacing w:before="0" w:after="0" w:line="240" w:lineRule="auto"/>
            </w:pPr>
            <w:r/>
            <w:r>
              <w:rPr>
                <w:rFonts w:ascii="Aptos" w:hAnsi="Aptos"/>
                <w:b w:val="0"/>
                <w:sz w:val="15"/>
              </w:rPr>
              <w:t>Facilities/security subject-matter staff, if nominated</w:t>
            </w:r>
          </w:p>
        </w:tc>
        <w:tc>
          <w:tcPr>
            <w:tcW w:type="dxa" w:w="3231"/>
            <w:vAlign w:val="center"/>
          </w:tcPr>
          <w:p>
            <w:pPr>
              <w:spacing w:before="0" w:after="0" w:line="240" w:lineRule="auto"/>
            </w:pPr>
            <w:r/>
            <w:r>
              <w:rPr>
                <w:rFonts w:ascii="Aptos" w:hAnsi="Aptos"/>
                <w:b w:val="0"/>
                <w:sz w:val="15"/>
              </w:rPr>
              <w:t>Interpret system behaviour and assess whether anomaly outputs are actionable</w:t>
            </w:r>
          </w:p>
        </w:tc>
        <w:tc>
          <w:tcPr>
            <w:tcW w:type="dxa" w:w="2381"/>
            <w:vAlign w:val="center"/>
          </w:tcPr>
          <w:p>
            <w:pPr>
              <w:spacing w:before="0" w:after="0" w:line="240" w:lineRule="auto"/>
            </w:pPr>
            <w:r/>
            <w:r>
              <w:rPr>
                <w:rFonts w:ascii="Aptos" w:hAnsi="Aptos"/>
                <w:b w:val="0"/>
                <w:sz w:val="15"/>
              </w:rPr>
              <w:t>Targeted sessions during Weeks 2, 7 and 9 or as agreed</w:t>
            </w:r>
          </w:p>
        </w:tc>
        <w:tc>
          <w:tcPr>
            <w:tcW w:type="dxa" w:w="2721"/>
            <w:vAlign w:val="center"/>
          </w:tcPr>
          <w:p>
            <w:pPr>
              <w:spacing w:before="0" w:after="0" w:line="240" w:lineRule="auto"/>
            </w:pPr>
            <w:r/>
            <w:r>
              <w:rPr>
                <w:rFonts w:ascii="Aptos" w:hAnsi="Aptos"/>
                <w:b w:val="0"/>
                <w:sz w:val="15"/>
              </w:rPr>
              <w:t>Interview/workshop; structured examples and visualisations</w:t>
            </w:r>
          </w:p>
        </w:tc>
      </w:tr>
      <w:tr>
        <w:trPr>
          <w:cantSplit/>
        </w:trPr>
        <w:tc>
          <w:tcPr>
            <w:tcW w:type="dxa" w:w="2154"/>
            <w:vAlign w:val="center"/>
          </w:tcPr>
          <w:p>
            <w:pPr>
              <w:spacing w:before="0" w:after="0" w:line="240" w:lineRule="auto"/>
            </w:pPr>
            <w:r/>
            <w:r>
              <w:rPr>
                <w:rFonts w:ascii="Aptos" w:hAnsi="Aptos"/>
                <w:b w:val="0"/>
                <w:sz w:val="15"/>
              </w:rPr>
              <w:t>Whole stakeholder group</w:t>
            </w:r>
          </w:p>
        </w:tc>
        <w:tc>
          <w:tcPr>
            <w:tcW w:type="dxa" w:w="3231"/>
            <w:vAlign w:val="center"/>
          </w:tcPr>
          <w:p>
            <w:pPr>
              <w:spacing w:before="0" w:after="0" w:line="240" w:lineRule="auto"/>
            </w:pPr>
            <w:r/>
            <w:r>
              <w:rPr>
                <w:rFonts w:ascii="Aptos" w:hAnsi="Aptos"/>
                <w:b w:val="0"/>
                <w:sz w:val="15"/>
              </w:rPr>
              <w:t>Confirm milestone completion and final acceptance</w:t>
            </w:r>
          </w:p>
        </w:tc>
        <w:tc>
          <w:tcPr>
            <w:tcW w:type="dxa" w:w="2381"/>
            <w:vAlign w:val="center"/>
          </w:tcPr>
          <w:p>
            <w:pPr>
              <w:spacing w:before="0" w:after="0" w:line="240" w:lineRule="auto"/>
            </w:pPr>
            <w:r/>
            <w:r>
              <w:rPr>
                <w:rFonts w:ascii="Aptos" w:hAnsi="Aptos"/>
                <w:b w:val="0"/>
                <w:sz w:val="15"/>
              </w:rPr>
              <w:t>Milestone reviews and final Week 10 presentation</w:t>
            </w:r>
          </w:p>
        </w:tc>
        <w:tc>
          <w:tcPr>
            <w:tcW w:type="dxa" w:w="2721"/>
            <w:vAlign w:val="center"/>
          </w:tcPr>
          <w:p>
            <w:pPr>
              <w:spacing w:before="0" w:after="0" w:line="240" w:lineRule="auto"/>
            </w:pPr>
            <w:r/>
            <w:r>
              <w:rPr>
                <w:rFonts w:ascii="Aptos" w:hAnsi="Aptos"/>
                <w:b w:val="0"/>
                <w:sz w:val="15"/>
              </w:rPr>
              <w:t>Presentation/demo plus final report and handover package</w:t>
            </w:r>
          </w:p>
        </w:tc>
      </w:tr>
    </w:tbl>
    <w:p>
      <w:pPr>
        <w:pStyle w:val="ProposalSubheading"/>
        <w:keepNext/>
        <w:spacing w:before="140" w:after="80"/>
      </w:pPr>
      <w:r>
        <w:rPr>
          <w:b/>
        </w:rPr>
        <w:t>Project Stakeholders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2664"/>
            <w:vAlign w:val="center"/>
            <w:shd w:fill="2F5597"/>
          </w:tcPr>
          <w:p>
            <w:pPr>
              <w:spacing w:before="0" w:after="0" w:line="240" w:lineRule="auto"/>
              <w:jc w:val="center"/>
            </w:pPr>
            <w:r/>
            <w:r>
              <w:rPr>
                <w:rFonts w:ascii="Aptos" w:hAnsi="Aptos"/>
                <w:b/>
                <w:color w:val="FFFFFF"/>
                <w:sz w:val="16"/>
              </w:rPr>
              <w:t>Name</w:t>
            </w:r>
          </w:p>
        </w:tc>
        <w:tc>
          <w:tcPr>
            <w:tcW w:type="dxa" w:w="2437"/>
            <w:vAlign w:val="center"/>
            <w:shd w:fill="2F5597"/>
          </w:tcPr>
          <w:p>
            <w:pPr>
              <w:spacing w:before="0" w:after="0" w:line="240" w:lineRule="auto"/>
              <w:jc w:val="center"/>
            </w:pPr>
            <w:r/>
            <w:r>
              <w:rPr>
                <w:rFonts w:ascii="Aptos" w:hAnsi="Aptos"/>
                <w:b/>
                <w:color w:val="FFFFFF"/>
                <w:sz w:val="16"/>
              </w:rPr>
              <w:t>Role</w:t>
            </w:r>
          </w:p>
        </w:tc>
        <w:tc>
          <w:tcPr>
            <w:tcW w:type="dxa" w:w="5329"/>
            <w:vAlign w:val="center"/>
            <w:shd w:fill="2F5597"/>
          </w:tcPr>
          <w:p>
            <w:pPr>
              <w:spacing w:before="0" w:after="0" w:line="240" w:lineRule="auto"/>
              <w:jc w:val="center"/>
            </w:pPr>
            <w:r/>
            <w:r>
              <w:rPr>
                <w:rFonts w:ascii="Aptos" w:hAnsi="Aptos"/>
                <w:b/>
                <w:color w:val="FFFFFF"/>
                <w:sz w:val="16"/>
              </w:rPr>
              <w:t>Interest in the project</w:t>
            </w:r>
          </w:p>
        </w:tc>
      </w:tr>
      <w:tr>
        <w:trPr>
          <w:cantSplit/>
        </w:trPr>
        <w:tc>
          <w:tcPr>
            <w:tcW w:type="dxa" w:w="2664"/>
            <w:vAlign w:val="center"/>
          </w:tcPr>
          <w:p>
            <w:pPr>
              <w:spacing w:before="0" w:after="0" w:line="240" w:lineRule="auto"/>
            </w:pPr>
            <w:r/>
            <w:r>
              <w:rPr>
                <w:rFonts w:ascii="Aptos" w:hAnsi="Aptos"/>
                <w:b w:val="0"/>
                <w:sz w:val="16"/>
              </w:rPr>
              <w:t>Smart Facilities SA client representative</w:t>
            </w:r>
          </w:p>
        </w:tc>
        <w:tc>
          <w:tcPr>
            <w:tcW w:type="dxa" w:w="2437"/>
            <w:vAlign w:val="center"/>
          </w:tcPr>
          <w:p>
            <w:pPr>
              <w:spacing w:before="0" w:after="0" w:line="240" w:lineRule="auto"/>
            </w:pPr>
            <w:r/>
            <w:r>
              <w:rPr>
                <w:rFonts w:ascii="Aptos" w:hAnsi="Aptos"/>
                <w:b w:val="0"/>
                <w:sz w:val="16"/>
              </w:rPr>
              <w:t>Client / Sponsor</w:t>
            </w:r>
          </w:p>
        </w:tc>
        <w:tc>
          <w:tcPr>
            <w:tcW w:type="dxa" w:w="5329"/>
            <w:vAlign w:val="center"/>
          </w:tcPr>
          <w:p>
            <w:pPr>
              <w:spacing w:before="0" w:after="0" w:line="240" w:lineRule="auto"/>
            </w:pPr>
            <w:r/>
            <w:r>
              <w:rPr>
                <w:rFonts w:ascii="Aptos" w:hAnsi="Aptos"/>
                <w:b w:val="0"/>
                <w:sz w:val="16"/>
              </w:rPr>
              <w:t>Receives project outputs; concerned with operational value, feasibility, risk, privacy, interpretability and whether the prototype supports future decision-making.</w:t>
            </w:r>
          </w:p>
        </w:tc>
      </w:tr>
      <w:tr>
        <w:trPr>
          <w:cantSplit/>
        </w:trPr>
        <w:tc>
          <w:tcPr>
            <w:tcW w:type="dxa" w:w="2664"/>
            <w:vAlign w:val="center"/>
          </w:tcPr>
          <w:p>
            <w:pPr>
              <w:spacing w:before="0" w:after="0" w:line="240" w:lineRule="auto"/>
            </w:pPr>
            <w:r/>
            <w:r>
              <w:rPr>
                <w:rFonts w:ascii="Aptos" w:hAnsi="Aptos"/>
                <w:b w:val="0"/>
                <w:sz w:val="16"/>
              </w:rPr>
              <w:t>Facilities-management staff</w:t>
            </w:r>
          </w:p>
        </w:tc>
        <w:tc>
          <w:tcPr>
            <w:tcW w:type="dxa" w:w="2437"/>
            <w:vAlign w:val="center"/>
          </w:tcPr>
          <w:p>
            <w:pPr>
              <w:spacing w:before="0" w:after="0" w:line="240" w:lineRule="auto"/>
            </w:pPr>
            <w:r/>
            <w:r>
              <w:rPr>
                <w:rFonts w:ascii="Aptos" w:hAnsi="Aptos"/>
                <w:b w:val="0"/>
                <w:sz w:val="16"/>
              </w:rPr>
              <w:t>Primary operational users</w:t>
            </w:r>
          </w:p>
        </w:tc>
        <w:tc>
          <w:tcPr>
            <w:tcW w:type="dxa" w:w="5329"/>
            <w:vAlign w:val="center"/>
          </w:tcPr>
          <w:p>
            <w:pPr>
              <w:spacing w:before="0" w:after="0" w:line="240" w:lineRule="auto"/>
            </w:pPr>
            <w:r/>
            <w:r>
              <w:rPr>
                <w:rFonts w:ascii="Aptos" w:hAnsi="Aptos"/>
                <w:b w:val="0"/>
                <w:sz w:val="16"/>
              </w:rPr>
              <w:t>Need useful identification of abnormal building/equipment behaviour without excessive false positives or unexplained model outputs.</w:t>
            </w:r>
          </w:p>
        </w:tc>
      </w:tr>
      <w:tr>
        <w:trPr>
          <w:cantSplit/>
        </w:trPr>
        <w:tc>
          <w:tcPr>
            <w:tcW w:type="dxa" w:w="2664"/>
            <w:vAlign w:val="center"/>
          </w:tcPr>
          <w:p>
            <w:pPr>
              <w:spacing w:before="0" w:after="0" w:line="240" w:lineRule="auto"/>
            </w:pPr>
            <w:r/>
            <w:r>
              <w:rPr>
                <w:rFonts w:ascii="Aptos" w:hAnsi="Aptos"/>
                <w:b w:val="0"/>
                <w:sz w:val="16"/>
              </w:rPr>
              <w:t>Security staff</w:t>
            </w:r>
          </w:p>
        </w:tc>
        <w:tc>
          <w:tcPr>
            <w:tcW w:type="dxa" w:w="2437"/>
            <w:vAlign w:val="center"/>
          </w:tcPr>
          <w:p>
            <w:pPr>
              <w:spacing w:before="0" w:after="0" w:line="240" w:lineRule="auto"/>
            </w:pPr>
            <w:r/>
            <w:r>
              <w:rPr>
                <w:rFonts w:ascii="Aptos" w:hAnsi="Aptos"/>
                <w:b w:val="0"/>
                <w:sz w:val="16"/>
              </w:rPr>
              <w:t>Potential operational users</w:t>
            </w:r>
          </w:p>
        </w:tc>
        <w:tc>
          <w:tcPr>
            <w:tcW w:type="dxa" w:w="5329"/>
            <w:vAlign w:val="center"/>
          </w:tcPr>
          <w:p>
            <w:pPr>
              <w:spacing w:before="0" w:after="0" w:line="240" w:lineRule="auto"/>
            </w:pPr>
            <w:r/>
            <w:r>
              <w:rPr>
                <w:rFonts w:ascii="Aptos" w:hAnsi="Aptos"/>
                <w:b w:val="0"/>
                <w:sz w:val="16"/>
              </w:rPr>
              <w:t>Interested in unusual access or system behaviour that may warrant security investigation; require clear context and prioritisation.</w:t>
            </w:r>
          </w:p>
        </w:tc>
      </w:tr>
      <w:tr>
        <w:trPr>
          <w:cantSplit/>
        </w:trPr>
        <w:tc>
          <w:tcPr>
            <w:tcW w:type="dxa" w:w="2664"/>
            <w:vAlign w:val="center"/>
          </w:tcPr>
          <w:p>
            <w:pPr>
              <w:spacing w:before="0" w:after="0" w:line="240" w:lineRule="auto"/>
            </w:pPr>
            <w:r/>
            <w:r>
              <w:rPr>
                <w:rFonts w:ascii="Aptos" w:hAnsi="Aptos"/>
                <w:b w:val="0"/>
                <w:sz w:val="16"/>
              </w:rPr>
              <w:t>Maintenance / engineering staff</w:t>
            </w:r>
          </w:p>
        </w:tc>
        <w:tc>
          <w:tcPr>
            <w:tcW w:type="dxa" w:w="2437"/>
            <w:vAlign w:val="center"/>
          </w:tcPr>
          <w:p>
            <w:pPr>
              <w:spacing w:before="0" w:after="0" w:line="240" w:lineRule="auto"/>
            </w:pPr>
            <w:r/>
            <w:r>
              <w:rPr>
                <w:rFonts w:ascii="Aptos" w:hAnsi="Aptos"/>
                <w:b w:val="0"/>
                <w:sz w:val="16"/>
              </w:rPr>
              <w:t>Subject-matter users</w:t>
            </w:r>
          </w:p>
        </w:tc>
        <w:tc>
          <w:tcPr>
            <w:tcW w:type="dxa" w:w="5329"/>
            <w:vAlign w:val="center"/>
          </w:tcPr>
          <w:p>
            <w:pPr>
              <w:spacing w:before="0" w:after="0" w:line="240" w:lineRule="auto"/>
            </w:pPr>
            <w:r/>
            <w:r>
              <w:rPr>
                <w:rFonts w:ascii="Aptos" w:hAnsi="Aptos"/>
                <w:b w:val="0"/>
                <w:sz w:val="16"/>
              </w:rPr>
              <w:t>Interested in early indicators of equipment degradation, recurring faults and abnormal operating patterns that may support maintenance planning.</w:t>
            </w:r>
          </w:p>
        </w:tc>
      </w:tr>
      <w:tr>
        <w:trPr>
          <w:cantSplit/>
        </w:trPr>
        <w:tc>
          <w:tcPr>
            <w:tcW w:type="dxa" w:w="2664"/>
            <w:vAlign w:val="center"/>
          </w:tcPr>
          <w:p>
            <w:pPr>
              <w:spacing w:before="0" w:after="0" w:line="240" w:lineRule="auto"/>
            </w:pPr>
            <w:r/>
            <w:r>
              <w:rPr>
                <w:rFonts w:ascii="Aptos" w:hAnsi="Aptos"/>
                <w:b w:val="0"/>
                <w:sz w:val="16"/>
              </w:rPr>
              <w:t>IT / data administrators</w:t>
            </w:r>
          </w:p>
        </w:tc>
        <w:tc>
          <w:tcPr>
            <w:tcW w:type="dxa" w:w="2437"/>
            <w:vAlign w:val="center"/>
          </w:tcPr>
          <w:p>
            <w:pPr>
              <w:spacing w:before="0" w:after="0" w:line="240" w:lineRule="auto"/>
            </w:pPr>
            <w:r/>
            <w:r>
              <w:rPr>
                <w:rFonts w:ascii="Aptos" w:hAnsi="Aptos"/>
                <w:b w:val="0"/>
                <w:sz w:val="16"/>
              </w:rPr>
              <w:t>Data and system custodians</w:t>
            </w:r>
          </w:p>
        </w:tc>
        <w:tc>
          <w:tcPr>
            <w:tcW w:type="dxa" w:w="5329"/>
            <w:vAlign w:val="center"/>
          </w:tcPr>
          <w:p>
            <w:pPr>
              <w:spacing w:before="0" w:after="0" w:line="240" w:lineRule="auto"/>
            </w:pPr>
            <w:r/>
            <w:r>
              <w:rPr>
                <w:rFonts w:ascii="Aptos" w:hAnsi="Aptos"/>
                <w:b w:val="0"/>
                <w:sz w:val="16"/>
              </w:rPr>
              <w:t>Concerned with secure data handling, access permissions, log schemas, system performance and reproducibility of data extraction/processing.</w:t>
            </w:r>
          </w:p>
        </w:tc>
      </w:tr>
      <w:tr>
        <w:trPr>
          <w:cantSplit/>
        </w:trPr>
        <w:tc>
          <w:tcPr>
            <w:tcW w:type="dxa" w:w="2664"/>
            <w:vAlign w:val="center"/>
          </w:tcPr>
          <w:p>
            <w:r>
              <w:t>Wenhao Liang and Abhilash Sridhara</w:t>
            </w:r>
          </w:p>
        </w:tc>
        <w:tc>
          <w:tcPr>
            <w:tcW w:type="dxa" w:w="2437"/>
            <w:vAlign w:val="center"/>
          </w:tcPr>
          <w:p>
            <w:pPr>
              <w:spacing w:before="0" w:after="0" w:line="240" w:lineRule="auto"/>
            </w:pPr>
            <w:r/>
            <w:r>
              <w:rPr>
                <w:rFonts w:ascii="Aptos" w:hAnsi="Aptos"/>
                <w:b w:val="0"/>
                <w:sz w:val="16"/>
              </w:rPr>
              <w:t>Academic stakeholder</w:t>
            </w:r>
          </w:p>
        </w:tc>
        <w:tc>
          <w:tcPr>
            <w:tcW w:type="dxa" w:w="5329"/>
            <w:vAlign w:val="center"/>
          </w:tcPr>
          <w:p>
            <w:pPr>
              <w:spacing w:before="0" w:after="0" w:line="240" w:lineRule="auto"/>
            </w:pPr>
            <w:r/>
            <w:r>
              <w:rPr>
                <w:rFonts w:ascii="Aptos" w:hAnsi="Aptos"/>
                <w:b w:val="0"/>
                <w:sz w:val="16"/>
              </w:rPr>
              <w:t>Interested in appropriate methodology, project governance, evidence-based evaluation and achievement of project objectives.</w:t>
            </w:r>
          </w:p>
        </w:tc>
      </w:tr>
      <w:tr>
        <w:trPr>
          <w:cantSplit/>
        </w:trPr>
        <w:tc>
          <w:tcPr>
            <w:tcW w:type="dxa" w:w="2664"/>
            <w:vAlign w:val="center"/>
          </w:tcPr>
          <w:p>
            <w:pPr>
              <w:spacing w:before="0" w:after="0" w:line="240" w:lineRule="auto"/>
            </w:pPr>
            <w:r/>
            <w:r>
              <w:rPr>
                <w:rFonts w:ascii="Aptos" w:hAnsi="Aptos"/>
                <w:b w:val="0"/>
                <w:sz w:val="16"/>
              </w:rPr>
              <w:t>Student project team</w:t>
            </w:r>
          </w:p>
        </w:tc>
        <w:tc>
          <w:tcPr>
            <w:tcW w:type="dxa" w:w="2437"/>
            <w:vAlign w:val="center"/>
          </w:tcPr>
          <w:p>
            <w:pPr>
              <w:spacing w:before="0" w:after="0" w:line="240" w:lineRule="auto"/>
            </w:pPr>
            <w:r/>
            <w:r>
              <w:rPr>
                <w:rFonts w:ascii="Aptos" w:hAnsi="Aptos"/>
                <w:b w:val="0"/>
                <w:sz w:val="16"/>
              </w:rPr>
              <w:t>Delivery team</w:t>
            </w:r>
          </w:p>
        </w:tc>
        <w:tc>
          <w:tcPr>
            <w:tcW w:type="dxa" w:w="5329"/>
            <w:vAlign w:val="center"/>
          </w:tcPr>
          <w:p>
            <w:pPr>
              <w:spacing w:before="0" w:after="0" w:line="240" w:lineRule="auto"/>
            </w:pPr>
            <w:r/>
            <w:r>
              <w:rPr>
                <w:rFonts w:ascii="Aptos" w:hAnsi="Aptos"/>
                <w:b w:val="0"/>
                <w:sz w:val="16"/>
              </w:rPr>
              <w:t>Responsible for completing the ten-week project, integrating technical workstreams and delivering a coherent, defensible outcome.</w:t>
            </w:r>
          </w:p>
        </w:tc>
      </w:tr>
    </w:tbl>
    <w:p>
      <w:pPr>
        <w:pStyle w:val="Heading1"/>
        <w:keepNext/>
        <w:spacing w:before="200" w:after="100"/>
      </w:pPr>
      <w:r>
        <w:rPr>
          <w:b/>
        </w:rPr>
        <w:t>6. Deliverables and Project Evaluation Criteria</w:t>
      </w:r>
    </w:p>
    <w:p>
      <w:pPr>
        <w:spacing w:after="100" w:line="259" w:lineRule="auto"/>
      </w:pPr>
      <w:r>
        <w:t>The project will deliver the following items electronically to Smart Facilities SA, subject to agreed data-handling restrictions: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2494"/>
            <w:vAlign w:val="center"/>
            <w:shd w:fill="2F5597"/>
          </w:tcPr>
          <w:p>
            <w:pPr>
              <w:spacing w:before="0" w:after="0" w:line="240" w:lineRule="auto"/>
              <w:jc w:val="center"/>
            </w:pPr>
            <w:r/>
            <w:r>
              <w:rPr>
                <w:rFonts w:ascii="Aptos" w:hAnsi="Aptos"/>
                <w:b/>
                <w:color w:val="FFFFFF"/>
                <w:sz w:val="16"/>
              </w:rPr>
              <w:t>Deliverable</w:t>
            </w:r>
          </w:p>
        </w:tc>
        <w:tc>
          <w:tcPr>
            <w:tcW w:type="dxa" w:w="3968"/>
            <w:vAlign w:val="center"/>
            <w:shd w:fill="2F5597"/>
          </w:tcPr>
          <w:p>
            <w:pPr>
              <w:spacing w:before="0" w:after="0" w:line="240" w:lineRule="auto"/>
              <w:jc w:val="center"/>
            </w:pPr>
            <w:r/>
            <w:r>
              <w:rPr>
                <w:rFonts w:ascii="Aptos" w:hAnsi="Aptos"/>
                <w:b/>
                <w:color w:val="FFFFFF"/>
                <w:sz w:val="16"/>
              </w:rPr>
              <w:t>Description</w:t>
            </w:r>
          </w:p>
        </w:tc>
        <w:tc>
          <w:tcPr>
            <w:tcW w:type="dxa" w:w="3968"/>
            <w:vAlign w:val="center"/>
            <w:shd w:fill="2F5597"/>
          </w:tcPr>
          <w:p>
            <w:pPr>
              <w:spacing w:before="0" w:after="0" w:line="240" w:lineRule="auto"/>
              <w:jc w:val="center"/>
            </w:pPr>
            <w:r/>
            <w:r>
              <w:rPr>
                <w:rFonts w:ascii="Aptos" w:hAnsi="Aptos"/>
                <w:b/>
                <w:color w:val="FFFFFF"/>
                <w:sz w:val="16"/>
              </w:rPr>
              <w:t>Evaluation Criteria</w:t>
            </w:r>
          </w:p>
        </w:tc>
      </w:tr>
      <w:tr>
        <w:trPr>
          <w:cantSplit/>
        </w:trPr>
        <w:tc>
          <w:tcPr>
            <w:tcW w:type="dxa" w:w="2494"/>
            <w:vAlign w:val="center"/>
          </w:tcPr>
          <w:p>
            <w:pPr>
              <w:spacing w:before="0" w:after="0" w:line="240" w:lineRule="auto"/>
            </w:pPr>
            <w:r/>
            <w:r>
              <w:rPr>
                <w:rFonts w:ascii="Aptos" w:hAnsi="Aptos"/>
                <w:b w:val="0"/>
                <w:sz w:val="16"/>
              </w:rPr>
              <w:t>D1. Data preparation and feature-engineering pipeline</w:t>
            </w:r>
          </w:p>
        </w:tc>
        <w:tc>
          <w:tcPr>
            <w:tcW w:type="dxa" w:w="3968"/>
            <w:vAlign w:val="center"/>
          </w:tcPr>
          <w:p>
            <w:pPr>
              <w:spacing w:before="0" w:after="0" w:line="240" w:lineRule="auto"/>
            </w:pPr>
            <w:r/>
            <w:r>
              <w:rPr>
                <w:rFonts w:ascii="Aptos" w:hAnsi="Aptos"/>
                <w:b w:val="0"/>
                <w:sz w:val="16"/>
              </w:rPr>
              <w:t>Reusable Python scripts/notebooks that ingest approved logs, perform cleaning and schema normalisation, and generate documented analysis features.</w:t>
            </w:r>
          </w:p>
        </w:tc>
        <w:tc>
          <w:tcPr>
            <w:tcW w:type="dxa" w:w="3968"/>
            <w:vAlign w:val="center"/>
          </w:tcPr>
          <w:p>
            <w:pPr>
              <w:spacing w:before="0" w:after="0" w:line="240" w:lineRule="auto"/>
            </w:pPr>
            <w:r/>
            <w:r>
              <w:rPr>
                <w:rFonts w:ascii="Aptos" w:hAnsi="Aptos"/>
                <w:b w:val="0"/>
                <w:sz w:val="16"/>
              </w:rPr>
              <w:t>Runs reproducibly on the agreed sample/approved dataset; key transformations and assumptions are documented; data-quality issues are quantified.</w:t>
            </w:r>
          </w:p>
        </w:tc>
      </w:tr>
      <w:tr>
        <w:trPr>
          <w:cantSplit/>
        </w:trPr>
        <w:tc>
          <w:tcPr>
            <w:tcW w:type="dxa" w:w="2494"/>
            <w:vAlign w:val="center"/>
          </w:tcPr>
          <w:p>
            <w:pPr>
              <w:spacing w:before="0" w:after="0" w:line="240" w:lineRule="auto"/>
            </w:pPr>
            <w:r/>
            <w:r>
              <w:rPr>
                <w:rFonts w:ascii="Aptos" w:hAnsi="Aptos"/>
                <w:b w:val="0"/>
                <w:sz w:val="16"/>
              </w:rPr>
              <w:t>D2. Exploratory pattern analysis</w:t>
            </w:r>
          </w:p>
        </w:tc>
        <w:tc>
          <w:tcPr>
            <w:tcW w:type="dxa" w:w="3968"/>
            <w:vAlign w:val="center"/>
          </w:tcPr>
          <w:p>
            <w:pPr>
              <w:spacing w:before="0" w:after="0" w:line="240" w:lineRule="auto"/>
            </w:pPr>
            <w:r/>
            <w:r>
              <w:rPr>
                <w:rFonts w:ascii="Aptos" w:hAnsi="Aptos"/>
                <w:b w:val="0"/>
                <w:sz w:val="16"/>
              </w:rPr>
              <w:t>Analysis of temporal behaviour, subsystem/device patterns, event frequencies and other recurring operating modes relevant to the available logs.</w:t>
            </w:r>
          </w:p>
        </w:tc>
        <w:tc>
          <w:tcPr>
            <w:tcW w:type="dxa" w:w="3968"/>
            <w:vAlign w:val="center"/>
          </w:tcPr>
          <w:p>
            <w:pPr>
              <w:spacing w:before="0" w:after="0" w:line="240" w:lineRule="auto"/>
            </w:pPr>
            <w:r/>
            <w:r>
              <w:rPr>
                <w:rFonts w:ascii="Aptos" w:hAnsi="Aptos"/>
                <w:b w:val="0"/>
                <w:sz w:val="16"/>
              </w:rPr>
              <w:t>Identifies understandable normal patterns and provides evidence that supports subsequent anomaly modelling.</w:t>
            </w:r>
          </w:p>
        </w:tc>
      </w:tr>
      <w:tr>
        <w:trPr>
          <w:cantSplit/>
        </w:trPr>
        <w:tc>
          <w:tcPr>
            <w:tcW w:type="dxa" w:w="2494"/>
            <w:vAlign w:val="center"/>
          </w:tcPr>
          <w:p>
            <w:pPr>
              <w:spacing w:before="0" w:after="0" w:line="240" w:lineRule="auto"/>
            </w:pPr>
            <w:r/>
            <w:r>
              <w:rPr>
                <w:rFonts w:ascii="Aptos" w:hAnsi="Aptos"/>
                <w:b w:val="0"/>
                <w:sz w:val="16"/>
              </w:rPr>
              <w:t>D3. Anomaly-detection model comparison</w:t>
            </w:r>
          </w:p>
        </w:tc>
        <w:tc>
          <w:tcPr>
            <w:tcW w:type="dxa" w:w="3968"/>
            <w:vAlign w:val="center"/>
          </w:tcPr>
          <w:p>
            <w:pPr>
              <w:spacing w:before="0" w:after="0" w:line="240" w:lineRule="auto"/>
            </w:pPr>
            <w:r/>
            <w:r>
              <w:rPr>
                <w:rFonts w:ascii="Aptos" w:hAnsi="Aptos"/>
                <w:b w:val="0"/>
                <w:sz w:val="16"/>
              </w:rPr>
              <w:t>At least one statistical baseline and multiple suitable machine-learning anomaly-detection approaches with documented configuration and comparison.</w:t>
            </w:r>
          </w:p>
        </w:tc>
        <w:tc>
          <w:tcPr>
            <w:tcW w:type="dxa" w:w="3968"/>
            <w:vAlign w:val="center"/>
          </w:tcPr>
          <w:p>
            <w:pPr>
              <w:spacing w:before="0" w:after="0" w:line="240" w:lineRule="auto"/>
            </w:pPr>
            <w:r/>
            <w:r>
              <w:rPr>
                <w:rFonts w:ascii="Aptos" w:hAnsi="Aptos"/>
                <w:b w:val="0"/>
                <w:sz w:val="16"/>
              </w:rPr>
              <w:t>Methods are evaluated consistently; false-positive burden, stability and limitations are reported; selected method(s) are justified by evidence.</w:t>
            </w:r>
          </w:p>
        </w:tc>
      </w:tr>
      <w:tr>
        <w:trPr>
          <w:cantSplit/>
        </w:trPr>
        <w:tc>
          <w:tcPr>
            <w:tcW w:type="dxa" w:w="2494"/>
            <w:vAlign w:val="center"/>
          </w:tcPr>
          <w:p>
            <w:pPr>
              <w:spacing w:before="0" w:after="0" w:line="240" w:lineRule="auto"/>
            </w:pPr>
            <w:r/>
            <w:r>
              <w:rPr>
                <w:rFonts w:ascii="Aptos" w:hAnsi="Aptos"/>
                <w:b w:val="0"/>
                <w:sz w:val="16"/>
              </w:rPr>
              <w:t>D4. Visualisation package</w:t>
            </w:r>
          </w:p>
        </w:tc>
        <w:tc>
          <w:tcPr>
            <w:tcW w:type="dxa" w:w="3968"/>
            <w:vAlign w:val="center"/>
          </w:tcPr>
          <w:p>
            <w:pPr>
              <w:spacing w:before="0" w:after="0" w:line="240" w:lineRule="auto"/>
            </w:pPr>
            <w:r/>
            <w:r>
              <w:rPr>
                <w:rFonts w:ascii="Aptos" w:hAnsi="Aptos"/>
                <w:b w:val="0"/>
                <w:sz w:val="16"/>
              </w:rPr>
              <w:t>Plots/dashboard-style views or notebooks showing normal patterns, anomaly timing, affected systems and contextual evidence.</w:t>
            </w:r>
          </w:p>
        </w:tc>
        <w:tc>
          <w:tcPr>
            <w:tcW w:type="dxa" w:w="3968"/>
            <w:vAlign w:val="center"/>
          </w:tcPr>
          <w:p>
            <w:pPr>
              <w:spacing w:before="0" w:after="0" w:line="240" w:lineRule="auto"/>
            </w:pPr>
            <w:r/>
            <w:r>
              <w:rPr>
                <w:rFonts w:ascii="Aptos" w:hAnsi="Aptos"/>
                <w:b w:val="0"/>
                <w:sz w:val="16"/>
              </w:rPr>
              <w:t>A reviewer can locate and understand representative anomalies without reading raw logs; visual outputs are legible and linked to the underlying evidence.</w:t>
            </w:r>
          </w:p>
        </w:tc>
      </w:tr>
      <w:tr>
        <w:trPr>
          <w:cantSplit/>
        </w:trPr>
        <w:tc>
          <w:tcPr>
            <w:tcW w:type="dxa" w:w="2494"/>
            <w:vAlign w:val="center"/>
          </w:tcPr>
          <w:p>
            <w:pPr>
              <w:spacing w:before="0" w:after="0" w:line="240" w:lineRule="auto"/>
            </w:pPr>
            <w:r/>
            <w:r>
              <w:rPr>
                <w:rFonts w:ascii="Aptos" w:hAnsi="Aptos"/>
                <w:b w:val="0"/>
                <w:sz w:val="16"/>
              </w:rPr>
              <w:t>D5. Interpretation and prioritisation framework</w:t>
            </w:r>
          </w:p>
        </w:tc>
        <w:tc>
          <w:tcPr>
            <w:tcW w:type="dxa" w:w="3968"/>
            <w:vAlign w:val="center"/>
          </w:tcPr>
          <w:p>
            <w:pPr>
              <w:spacing w:before="0" w:after="0" w:line="240" w:lineRule="auto"/>
            </w:pPr>
            <w:r/>
            <w:r>
              <w:rPr>
                <w:rFonts w:ascii="Aptos" w:hAnsi="Aptos"/>
                <w:b w:val="0"/>
                <w:sz w:val="16"/>
              </w:rPr>
              <w:t>A practical structure for explaining detected anomalies and ranking investigation priority based on available evidence such as magnitude, persistence, recurrence, subsystem context and confidence.</w:t>
            </w:r>
          </w:p>
        </w:tc>
        <w:tc>
          <w:tcPr>
            <w:tcW w:type="dxa" w:w="3968"/>
            <w:vAlign w:val="center"/>
          </w:tcPr>
          <w:p>
            <w:pPr>
              <w:spacing w:before="0" w:after="0" w:line="240" w:lineRule="auto"/>
            </w:pPr>
            <w:r/>
            <w:r>
              <w:rPr>
                <w:rFonts w:ascii="Aptos" w:hAnsi="Aptos"/>
                <w:b w:val="0"/>
                <w:sz w:val="16"/>
              </w:rPr>
              <w:t>Facilities/security reviewers can distinguish higher-priority from lower-priority findings and understand why an anomaly was surfaced.</w:t>
            </w:r>
          </w:p>
        </w:tc>
      </w:tr>
      <w:tr>
        <w:trPr>
          <w:cantSplit/>
        </w:trPr>
        <w:tc>
          <w:tcPr>
            <w:tcW w:type="dxa" w:w="2494"/>
            <w:vAlign w:val="center"/>
          </w:tcPr>
          <w:p>
            <w:pPr>
              <w:spacing w:before="0" w:after="0" w:line="240" w:lineRule="auto"/>
            </w:pPr>
            <w:r/>
            <w:r>
              <w:rPr>
                <w:rFonts w:ascii="Aptos" w:hAnsi="Aptos"/>
                <w:b w:val="0"/>
                <w:sz w:val="16"/>
              </w:rPr>
              <w:t>D6. Final technical report and recommendations</w:t>
            </w:r>
          </w:p>
        </w:tc>
        <w:tc>
          <w:tcPr>
            <w:tcW w:type="dxa" w:w="3968"/>
            <w:vAlign w:val="center"/>
          </w:tcPr>
          <w:p>
            <w:pPr>
              <w:spacing w:before="0" w:after="0" w:line="240" w:lineRule="auto"/>
            </w:pPr>
            <w:r/>
            <w:r>
              <w:rPr>
                <w:rFonts w:ascii="Aptos" w:hAnsi="Aptos"/>
                <w:b w:val="0"/>
                <w:sz w:val="16"/>
              </w:rPr>
              <w:t>Report covering data, methodology, experiments, results, limitations, privacy/security considerations and recommended next steps for operationalisation.</w:t>
            </w:r>
          </w:p>
        </w:tc>
        <w:tc>
          <w:tcPr>
            <w:tcW w:type="dxa" w:w="3968"/>
            <w:vAlign w:val="center"/>
          </w:tcPr>
          <w:p>
            <w:pPr>
              <w:spacing w:before="0" w:after="0" w:line="240" w:lineRule="auto"/>
            </w:pPr>
            <w:r/>
            <w:r>
              <w:rPr>
                <w:rFonts w:ascii="Aptos" w:hAnsi="Aptos"/>
                <w:b w:val="0"/>
                <w:sz w:val="16"/>
              </w:rPr>
              <w:t>Conclusions are traceable to analysis results; limitations are explicit; recommendations distinguish prototype findings from production requirements.</w:t>
            </w:r>
          </w:p>
        </w:tc>
      </w:tr>
      <w:tr>
        <w:trPr>
          <w:cantSplit/>
        </w:trPr>
        <w:tc>
          <w:tcPr>
            <w:tcW w:type="dxa" w:w="2494"/>
            <w:vAlign w:val="center"/>
          </w:tcPr>
          <w:p>
            <w:pPr>
              <w:spacing w:before="0" w:after="0" w:line="240" w:lineRule="auto"/>
            </w:pPr>
            <w:r/>
            <w:r>
              <w:rPr>
                <w:rFonts w:ascii="Aptos" w:hAnsi="Aptos"/>
                <w:b w:val="0"/>
                <w:sz w:val="16"/>
              </w:rPr>
              <w:t>D7. Reproducible handover package and presentation</w:t>
            </w:r>
          </w:p>
        </w:tc>
        <w:tc>
          <w:tcPr>
            <w:tcW w:type="dxa" w:w="3968"/>
            <w:vAlign w:val="center"/>
          </w:tcPr>
          <w:p>
            <w:pPr>
              <w:spacing w:before="0" w:after="0" w:line="240" w:lineRule="auto"/>
            </w:pPr>
            <w:r/>
            <w:r>
              <w:rPr>
                <w:rFonts w:ascii="Aptos" w:hAnsi="Aptos"/>
                <w:b w:val="0"/>
                <w:sz w:val="16"/>
              </w:rPr>
              <w:t>Source code, environment/dependency information, README/run instructions, selected outputs and final presentation/demo.</w:t>
            </w:r>
          </w:p>
        </w:tc>
        <w:tc>
          <w:tcPr>
            <w:tcW w:type="dxa" w:w="3968"/>
            <w:vAlign w:val="center"/>
          </w:tcPr>
          <w:p>
            <w:pPr>
              <w:spacing w:before="0" w:after="0" w:line="240" w:lineRule="auto"/>
            </w:pPr>
            <w:r/>
            <w:r>
              <w:rPr>
                <w:rFonts w:ascii="Aptos" w:hAnsi="Aptos"/>
                <w:b w:val="0"/>
                <w:sz w:val="16"/>
              </w:rPr>
              <w:t>Another technically capable reviewer can understand the project structure and reproduce the agreed analysis with access to the same approved data.</w:t>
            </w:r>
          </w:p>
        </w:tc>
      </w:tr>
    </w:tbl>
    <w:p>
      <w:pPr>
        <w:spacing w:after="100" w:line="259" w:lineRule="auto"/>
      </w:pPr>
      <w:r>
        <w:t>Project success will be judged primarily by reproducibility, technical validity, usefulness of anomaly prioritisation, interpretability of outputs, and the quality of evidence supporting conclusions. If labelled incidents are available, quantitative metrics such as precision, recall, F1 score and/or precision-recall curves will be included as appropriate. If labels are unavailable or incomplete, those metrics will not be presented as definitive; evaluation will instead rely on controlled test cases, stability/consistency checks, alert-volume analysis and structured stakeholder review.</w:t>
      </w:r>
    </w:p>
    <w:p>
      <w:pPr>
        <w:pStyle w:val="Heading1"/>
        <w:keepNext/>
        <w:spacing w:before="200" w:after="100"/>
      </w:pPr>
      <w:r>
        <w:rPr>
          <w:b/>
        </w:rPr>
        <w:t>7. Implementation Plan</w:t>
      </w:r>
    </w:p>
    <w:p>
      <w:pPr>
        <w:spacing w:after="80"/>
        <w:ind w:left="340" w:hanging="340"/>
      </w:pPr>
      <w:r>
        <w:rPr>
          <w:b/>
        </w:rPr>
        <w:t xml:space="preserve">1. </w:t>
      </w:r>
      <w:r>
        <w:t>Requirements and data-access confirmation (Week 1, Milestone M1): confirm client objectives, stakeholders, permitted data, security/privacy constraints, success criteria and technical environment. Establish repository, task board and reproducibility conventions.</w:t>
      </w:r>
    </w:p>
    <w:p>
      <w:pPr>
        <w:spacing w:after="80"/>
        <w:ind w:left="340" w:hanging="340"/>
      </w:pPr>
      <w:r>
        <w:rPr>
          <w:b/>
        </w:rPr>
        <w:t xml:space="preserve">2. </w:t>
      </w:r>
      <w:r>
        <w:t>Data audit and canonical schema (Weeks 1-2, M2): profile log sources, timestamps, fields, event types, volumes and missingness. Define a common event representation and document source-specific mappings.</w:t>
      </w:r>
    </w:p>
    <w:p>
      <w:pPr>
        <w:spacing w:after="80"/>
        <w:ind w:left="340" w:hanging="340"/>
      </w:pPr>
      <w:r>
        <w:rPr>
          <w:b/>
        </w:rPr>
        <w:t xml:space="preserve">3. </w:t>
      </w:r>
      <w:r>
        <w:t>Data preparation pipeline (Weeks 2-3, M3): implement ingestion, cleaning, time normalisation, deduplication and validation checks. Produce an analysis-ready dataset or reproducible transformation process.</w:t>
      </w:r>
    </w:p>
    <w:p>
      <w:pPr>
        <w:spacing w:after="80"/>
        <w:ind w:left="340" w:hanging="340"/>
      </w:pPr>
      <w:r>
        <w:rPr>
          <w:b/>
        </w:rPr>
        <w:t xml:space="preserve">4. </w:t>
      </w:r>
      <w:r>
        <w:t>Feature engineering and exploratory pattern discovery (Weeks 3-4, M4): create temporal, event-frequency, categorical and system-level features; inspect cycles, correlations, clusters and recurring operating modes.</w:t>
      </w:r>
    </w:p>
    <w:p>
      <w:pPr>
        <w:spacing w:after="80"/>
        <w:ind w:left="340" w:hanging="340"/>
      </w:pPr>
      <w:r>
        <w:rPr>
          <w:b/>
        </w:rPr>
        <w:t xml:space="preserve">5. </w:t>
      </w:r>
      <w:r>
        <w:t>Baseline anomaly detection (Weeks 4-5, M5): implement interpretable statistical baselines such as threshold, z-score/robust score or rolling-deviation approaches to establish reference performance and alert volumes.</w:t>
      </w:r>
    </w:p>
    <w:p>
      <w:pPr>
        <w:spacing w:after="80"/>
        <w:ind w:left="340" w:hanging="340"/>
      </w:pPr>
      <w:r>
        <w:rPr>
          <w:b/>
        </w:rPr>
        <w:t xml:space="preserve">6. </w:t>
      </w:r>
      <w:r>
        <w:t>Machine-learning anomaly modelling (Weeks 5-6, M6): implement and compare suitable unsupervised methods such as Isolation Forest, Local Outlier Factor and/or other justified techniques. More complex methods will only be added if data volume and structure support them.</w:t>
      </w:r>
    </w:p>
    <w:p>
      <w:pPr>
        <w:spacing w:after="80"/>
        <w:ind w:left="340" w:hanging="340"/>
      </w:pPr>
      <w:r>
        <w:rPr>
          <w:b/>
        </w:rPr>
        <w:t xml:space="preserve">7. </w:t>
      </w:r>
      <w:r>
        <w:t>Evaluation, tuning and robustness analysis (Weeks 6-7, M7): use labelled incidents where available; otherwise apply controlled synthetic/known-event tests, time-based validation, stability checks and representative expert review. Tune thresholds with attention to false-positive burden.</w:t>
      </w:r>
    </w:p>
    <w:p>
      <w:pPr>
        <w:spacing w:after="80"/>
        <w:ind w:left="340" w:hanging="340"/>
      </w:pPr>
      <w:r>
        <w:rPr>
          <w:b/>
        </w:rPr>
        <w:t xml:space="preserve">8. </w:t>
      </w:r>
      <w:r>
        <w:t>Visualisation and anomaly prioritisation (Weeks 7-8, M8): design anomaly timelines, summaries and supporting context. Develop a ranking framework using available evidence such as anomaly magnitude, duration/persistence, recurrence, subsystem context and confidence.</w:t>
      </w:r>
    </w:p>
    <w:p>
      <w:pPr>
        <w:spacing w:after="80"/>
        <w:ind w:left="340" w:hanging="340"/>
      </w:pPr>
      <w:r>
        <w:rPr>
          <w:b/>
        </w:rPr>
        <w:t xml:space="preserve">9. </w:t>
      </w:r>
      <w:r>
        <w:t>Integrated prototype review (Week 9, M9): run the end-to-end pipeline, review representative outputs with stakeholders, capture feedback and correct high-priority technical or usability issues.</w:t>
      </w:r>
    </w:p>
    <w:p>
      <w:pPr>
        <w:spacing w:after="80"/>
        <w:ind w:left="340" w:hanging="340"/>
      </w:pPr>
      <w:r>
        <w:rPr>
          <w:b/>
        </w:rPr>
        <w:t xml:space="preserve">10. </w:t>
      </w:r>
      <w:r>
        <w:t>Finalisation and handover (Week 10, M10): freeze reproducible code, complete documentation and report, prepare final presentation/demo, record limitations and provide recommendations for future production deployment.</w:t>
      </w:r>
    </w:p>
    <w:p>
      <w:r>
        <w:br w:type="page"/>
      </w:r>
    </w:p>
    <w:p>
      <w:pPr>
        <w:pStyle w:val="Heading1"/>
        <w:keepNext/>
        <w:spacing w:before="200" w:after="100"/>
      </w:pPr>
      <w:r>
        <w:rPr>
          <w:b/>
        </w:rPr>
        <w:t>8. Project Schedule</w:t>
      </w:r>
    </w:p>
    <w:p>
      <w:pPr>
        <w:spacing w:after="100" w:line="259" w:lineRule="auto"/>
      </w:pPr>
      <w:r>
        <w:t>The schedule below runs from Monday of Week 1 through Friday of Week 10, as required by the template. Milestones correspond to the implementation plan above.</w:t>
      </w:r>
    </w:p>
    <w:p>
      <w:pPr>
        <w:spacing w:after="80"/>
        <w:jc w:val="center"/>
      </w:pPr>
      <w:r>
        <w:drawing>
          <wp:inline xmlns:a="http://schemas.openxmlformats.org/drawingml/2006/main" xmlns:pic="http://schemas.openxmlformats.org/drawingml/2006/picture">
            <wp:extent cx="6120000" cy="3150225"/>
            <wp:docPr id="1" name="Picture 1"/>
            <wp:cNvGraphicFramePr>
              <a:graphicFrameLocks noChangeAspect="1"/>
            </wp:cNvGraphicFramePr>
            <a:graphic>
              <a:graphicData uri="http://schemas.openxmlformats.org/drawingml/2006/picture">
                <pic:pic>
                  <pic:nvPicPr>
                    <pic:cNvPr id="0" name="d01_gantt.png"/>
                    <pic:cNvPicPr/>
                  </pic:nvPicPr>
                  <pic:blipFill>
                    <a:blip r:embed="rId14"/>
                    <a:stretch>
                      <a:fillRect/>
                    </a:stretch>
                  </pic:blipFill>
                  <pic:spPr>
                    <a:xfrm>
                      <a:off x="0" y="0"/>
                      <a:ext cx="6120000" cy="3150225"/>
                    </a:xfrm>
                    <a:prstGeom prst="rect"/>
                  </pic:spPr>
                </pic:pic>
              </a:graphicData>
            </a:graphic>
          </wp:inline>
        </w:drawing>
      </w:r>
    </w:p>
    <w:p>
      <w:pPr>
        <w:spacing w:before="100" w:after="80"/>
      </w:pPr>
      <w:r>
        <w:rPr>
          <w:b/>
        </w:rPr>
        <w:t xml:space="preserve">Milestone checkpoints: </w:t>
      </w:r>
      <w:r>
        <w:t>M1 requirements/access confirmed; M2 data/schema audit complete; M3 preprocessing pipeline ready; M4 feature set and patterns documented; M5 baseline results; M6 ML models implemented; M7 evaluation complete; M8 visual/prioritisation prototype; M9 stakeholder review complete; M10 final handover.</w:t>
      </w:r>
    </w:p>
    <w:p>
      <w:pPr>
        <w:pStyle w:val="Heading1"/>
        <w:keepNext/>
        <w:spacing w:before="200" w:after="100"/>
      </w:pPr>
      <w:r>
        <w:rPr>
          <w:b/>
        </w:rPr>
        <w:t>APPROVAL</w:t>
      </w:r>
    </w:p>
    <w:p>
      <w:pPr>
        <w:spacing w:after="100" w:line="259" w:lineRule="auto"/>
      </w:pPr>
      <w:r>
        <w:t>We approve the project as described above.</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trPr>
        <w:tc>
          <w:tcPr>
            <w:tcW w:type="dxa" w:w="3004"/>
            <w:vAlign w:val="center"/>
            <w:shd w:fill="2F5597"/>
          </w:tcPr>
          <w:p>
            <w:pPr>
              <w:spacing w:before="0" w:after="0" w:line="240" w:lineRule="auto"/>
              <w:jc w:val="center"/>
            </w:pPr>
            <w:r/>
            <w:r>
              <w:rPr>
                <w:rFonts w:ascii="Aptos" w:hAnsi="Aptos"/>
                <w:b/>
                <w:color w:val="FFFFFF"/>
                <w:sz w:val="16"/>
              </w:rPr>
              <w:t>Name</w:t>
            </w:r>
          </w:p>
        </w:tc>
        <w:tc>
          <w:tcPr>
            <w:tcW w:type="dxa" w:w="2948"/>
            <w:vAlign w:val="center"/>
            <w:shd w:fill="2F5597"/>
          </w:tcPr>
          <w:p>
            <w:pPr>
              <w:spacing w:before="0" w:after="0" w:line="240" w:lineRule="auto"/>
              <w:jc w:val="center"/>
            </w:pPr>
            <w:r/>
            <w:r>
              <w:rPr>
                <w:rFonts w:ascii="Aptos" w:hAnsi="Aptos"/>
                <w:b/>
                <w:color w:val="FFFFFF"/>
                <w:sz w:val="16"/>
              </w:rPr>
              <w:t>Role (e.g. student, client, mentor)</w:t>
            </w:r>
          </w:p>
        </w:tc>
        <w:tc>
          <w:tcPr>
            <w:tcW w:type="dxa" w:w="2494"/>
            <w:vAlign w:val="center"/>
            <w:shd w:fill="2F5597"/>
          </w:tcPr>
          <w:p>
            <w:pPr>
              <w:spacing w:before="0" w:after="0" w:line="240" w:lineRule="auto"/>
              <w:jc w:val="center"/>
            </w:pPr>
            <w:r/>
            <w:r>
              <w:rPr>
                <w:rFonts w:ascii="Aptos" w:hAnsi="Aptos"/>
                <w:b/>
                <w:color w:val="FFFFFF"/>
                <w:sz w:val="16"/>
              </w:rPr>
              <w:t>Signature</w:t>
            </w:r>
          </w:p>
        </w:tc>
        <w:tc>
          <w:tcPr>
            <w:tcW w:type="dxa" w:w="1984"/>
            <w:vAlign w:val="center"/>
            <w:shd w:fill="2F5597"/>
          </w:tcPr>
          <w:p>
            <w:pPr>
              <w:spacing w:before="0" w:after="0" w:line="240" w:lineRule="auto"/>
              <w:jc w:val="center"/>
            </w:pPr>
            <w:r/>
            <w:r>
              <w:rPr>
                <w:rFonts w:ascii="Aptos" w:hAnsi="Aptos"/>
                <w:b/>
                <w:color w:val="FFFFFF"/>
                <w:sz w:val="16"/>
              </w:rPr>
              <w:t>Date</w:t>
            </w:r>
          </w:p>
        </w:tc>
      </w:tr>
      <w:tr>
        <w:trPr>
          <w:cantSplit/>
        </w:trPr>
        <w:tc>
          <w:tcPr>
            <w:tcW w:type="dxa" w:w="3004"/>
            <w:vAlign w:val="center"/>
          </w:tcPr>
          <w:p>
            <w:pPr>
              <w:spacing w:before="0" w:after="0" w:line="240" w:lineRule="auto"/>
            </w:pPr>
            <w:r/>
            <w:r>
              <w:rPr>
                <w:rFonts w:ascii="Aptos" w:hAnsi="Aptos"/>
                <w:b w:val="0"/>
                <w:sz w:val="16"/>
              </w:rPr>
              <w:t>Huaye Qi (Qi)</w:t>
            </w:r>
          </w:p>
        </w:tc>
        <w:tc>
          <w:tcPr>
            <w:tcW w:type="dxa" w:w="2948"/>
            <w:vAlign w:val="center"/>
          </w:tcPr>
          <w:p>
            <w:pPr>
              <w:spacing w:before="0" w:after="0" w:line="240" w:lineRule="auto"/>
            </w:pPr>
            <w:r/>
            <w:r>
              <w:rPr>
                <w:rFonts w:ascii="Aptos" w:hAnsi="Aptos"/>
                <w:b w:val="0"/>
                <w:sz w:val="16"/>
              </w:rPr>
              <w:t>Student</w:t>
            </w:r>
          </w:p>
        </w:tc>
        <w:tc>
          <w:tcPr>
            <w:tcW w:type="dxa" w:w="2494"/>
            <w:vAlign w:val="center"/>
          </w:tcPr>
          <w:p>
            <w:pPr>
              <w:spacing w:before="0" w:after="0" w:line="240" w:lineRule="auto"/>
            </w:pPr>
            <w:r/>
            <w:r>
              <w:rPr>
                <w:rFonts w:ascii="Aptos" w:hAnsi="Aptos"/>
                <w:b w:val="0"/>
                <w:sz w:val="16"/>
              </w:rPr>
            </w:r>
          </w:p>
        </w:tc>
        <w:tc>
          <w:tcPr>
            <w:tcW w:type="dxa" w:w="1984"/>
            <w:vAlign w:val="center"/>
          </w:tcPr>
          <w:p>
            <w:pPr>
              <w:spacing w:before="0" w:after="0" w:line="240" w:lineRule="auto"/>
            </w:pPr>
            <w:r/>
            <w:r>
              <w:rPr>
                <w:rFonts w:ascii="Aptos" w:hAnsi="Aptos"/>
                <w:b w:val="0"/>
                <w:sz w:val="16"/>
              </w:rPr>
            </w:r>
          </w:p>
        </w:tc>
      </w:tr>
      <w:tr>
        <w:trPr>
          <w:cantSplit/>
        </w:trPr>
        <w:tc>
          <w:tcPr>
            <w:tcW w:type="dxa" w:w="3004"/>
            <w:vAlign w:val="center"/>
          </w:tcPr>
          <w:p>
            <w:pPr>
              <w:spacing w:before="0" w:after="0" w:line="240" w:lineRule="auto"/>
            </w:pPr>
            <w:r/>
            <w:r>
              <w:rPr>
                <w:rFonts w:ascii="Aptos" w:hAnsi="Aptos"/>
                <w:b w:val="0"/>
                <w:sz w:val="16"/>
              </w:rPr>
              <w:t>Yongli Jiang (Lee)</w:t>
            </w:r>
          </w:p>
        </w:tc>
        <w:tc>
          <w:tcPr>
            <w:tcW w:type="dxa" w:w="2948"/>
            <w:vAlign w:val="center"/>
          </w:tcPr>
          <w:p>
            <w:pPr>
              <w:spacing w:before="0" w:after="0" w:line="240" w:lineRule="auto"/>
            </w:pPr>
            <w:r/>
            <w:r>
              <w:rPr>
                <w:rFonts w:ascii="Aptos" w:hAnsi="Aptos"/>
                <w:b w:val="0"/>
                <w:sz w:val="16"/>
              </w:rPr>
              <w:t>Student</w:t>
            </w:r>
          </w:p>
        </w:tc>
        <w:tc>
          <w:tcPr>
            <w:tcW w:type="dxa" w:w="2494"/>
            <w:vAlign w:val="center"/>
          </w:tcPr>
          <w:p>
            <w:pPr>
              <w:spacing w:before="0" w:after="0" w:line="240" w:lineRule="auto"/>
            </w:pPr>
            <w:r/>
            <w:r>
              <w:rPr>
                <w:rFonts w:ascii="Aptos" w:hAnsi="Aptos"/>
                <w:b w:val="0"/>
                <w:sz w:val="16"/>
              </w:rPr>
            </w:r>
          </w:p>
        </w:tc>
        <w:tc>
          <w:tcPr>
            <w:tcW w:type="dxa" w:w="1984"/>
            <w:vAlign w:val="center"/>
          </w:tcPr>
          <w:p>
            <w:pPr>
              <w:spacing w:before="0" w:after="0" w:line="240" w:lineRule="auto"/>
            </w:pPr>
            <w:r/>
            <w:r>
              <w:rPr>
                <w:rFonts w:ascii="Aptos" w:hAnsi="Aptos"/>
                <w:b w:val="0"/>
                <w:sz w:val="16"/>
              </w:rPr>
            </w:r>
          </w:p>
        </w:tc>
      </w:tr>
      <w:tr>
        <w:trPr>
          <w:cantSplit/>
        </w:trPr>
        <w:tc>
          <w:tcPr>
            <w:tcW w:type="dxa" w:w="3004"/>
            <w:vAlign w:val="center"/>
          </w:tcPr>
          <w:p>
            <w:pPr>
              <w:spacing w:before="0" w:after="0" w:line="240" w:lineRule="auto"/>
            </w:pPr>
            <w:r/>
            <w:r>
              <w:rPr>
                <w:rFonts w:ascii="Aptos" w:hAnsi="Aptos"/>
                <w:b w:val="0"/>
                <w:sz w:val="16"/>
              </w:rPr>
              <w:t>Jiahao Wang (Gavin)</w:t>
            </w:r>
          </w:p>
        </w:tc>
        <w:tc>
          <w:tcPr>
            <w:tcW w:type="dxa" w:w="2948"/>
            <w:vAlign w:val="center"/>
          </w:tcPr>
          <w:p>
            <w:pPr>
              <w:spacing w:before="0" w:after="0" w:line="240" w:lineRule="auto"/>
            </w:pPr>
            <w:r/>
            <w:r>
              <w:rPr>
                <w:rFonts w:ascii="Aptos" w:hAnsi="Aptos"/>
                <w:b w:val="0"/>
                <w:sz w:val="16"/>
              </w:rPr>
              <w:t>Student</w:t>
            </w:r>
          </w:p>
        </w:tc>
        <w:tc>
          <w:tcPr>
            <w:tcW w:type="dxa" w:w="2494"/>
            <w:vAlign w:val="center"/>
          </w:tcPr>
          <w:p>
            <w:pPr>
              <w:spacing w:before="0" w:after="0" w:line="240" w:lineRule="auto"/>
            </w:pPr>
            <w:r/>
            <w:r>
              <w:rPr>
                <w:rFonts w:ascii="Aptos" w:hAnsi="Aptos"/>
                <w:b w:val="0"/>
                <w:sz w:val="16"/>
              </w:rPr>
            </w:r>
          </w:p>
        </w:tc>
        <w:tc>
          <w:tcPr>
            <w:tcW w:type="dxa" w:w="1984"/>
            <w:vAlign w:val="center"/>
          </w:tcPr>
          <w:p>
            <w:pPr>
              <w:spacing w:before="0" w:after="0" w:line="240" w:lineRule="auto"/>
            </w:pPr>
            <w:r/>
            <w:r>
              <w:rPr>
                <w:rFonts w:ascii="Aptos" w:hAnsi="Aptos"/>
                <w:b w:val="0"/>
                <w:sz w:val="16"/>
              </w:rPr>
            </w:r>
          </w:p>
        </w:tc>
      </w:tr>
      <w:tr>
        <w:trPr>
          <w:cantSplit/>
        </w:trPr>
        <w:tc>
          <w:tcPr>
            <w:tcW w:type="dxa" w:w="3004"/>
            <w:vAlign w:val="center"/>
          </w:tcPr>
          <w:p>
            <w:pPr>
              <w:spacing w:before="0" w:after="0" w:line="240" w:lineRule="auto"/>
            </w:pPr>
            <w:r/>
            <w:r>
              <w:rPr>
                <w:rFonts w:ascii="Aptos" w:hAnsi="Aptos"/>
                <w:b w:val="0"/>
                <w:sz w:val="16"/>
              </w:rPr>
              <w:t>Meng Zhang (Penelope)</w:t>
            </w:r>
          </w:p>
        </w:tc>
        <w:tc>
          <w:tcPr>
            <w:tcW w:type="dxa" w:w="2948"/>
            <w:vAlign w:val="center"/>
          </w:tcPr>
          <w:p>
            <w:pPr>
              <w:spacing w:before="0" w:after="0" w:line="240" w:lineRule="auto"/>
            </w:pPr>
            <w:r/>
            <w:r>
              <w:rPr>
                <w:rFonts w:ascii="Aptos" w:hAnsi="Aptos"/>
                <w:b w:val="0"/>
                <w:sz w:val="16"/>
              </w:rPr>
              <w:t>Student</w:t>
            </w:r>
          </w:p>
        </w:tc>
        <w:tc>
          <w:tcPr>
            <w:tcW w:type="dxa" w:w="2494"/>
            <w:vAlign w:val="center"/>
          </w:tcPr>
          <w:p>
            <w:pPr>
              <w:spacing w:before="0" w:after="0" w:line="240" w:lineRule="auto"/>
            </w:pPr>
            <w:r/>
            <w:r>
              <w:rPr>
                <w:rFonts w:ascii="Aptos" w:hAnsi="Aptos"/>
                <w:b w:val="0"/>
                <w:sz w:val="16"/>
              </w:rPr>
            </w:r>
          </w:p>
        </w:tc>
        <w:tc>
          <w:tcPr>
            <w:tcW w:type="dxa" w:w="1984"/>
            <w:vAlign w:val="center"/>
          </w:tcPr>
          <w:p>
            <w:pPr>
              <w:spacing w:before="0" w:after="0" w:line="240" w:lineRule="auto"/>
            </w:pPr>
            <w:r/>
            <w:r>
              <w:rPr>
                <w:rFonts w:ascii="Aptos" w:hAnsi="Aptos"/>
                <w:b w:val="0"/>
                <w:sz w:val="16"/>
              </w:rPr>
            </w:r>
          </w:p>
        </w:tc>
      </w:tr>
      <w:tr>
        <w:trPr>
          <w:cantSplit/>
        </w:trPr>
        <w:tc>
          <w:tcPr>
            <w:tcW w:type="dxa" w:w="3004"/>
            <w:vAlign w:val="center"/>
          </w:tcPr>
          <w:p>
            <w:pPr>
              <w:spacing w:before="0" w:after="0" w:line="240" w:lineRule="auto"/>
            </w:pPr>
            <w:r/>
            <w:r>
              <w:rPr>
                <w:rFonts w:ascii="Aptos" w:hAnsi="Aptos"/>
                <w:b w:val="0"/>
                <w:sz w:val="16"/>
              </w:rPr>
              <w:t>Zirui Geng (Roc)</w:t>
            </w:r>
          </w:p>
        </w:tc>
        <w:tc>
          <w:tcPr>
            <w:tcW w:type="dxa" w:w="2948"/>
            <w:vAlign w:val="center"/>
          </w:tcPr>
          <w:p>
            <w:pPr>
              <w:spacing w:before="0" w:after="0" w:line="240" w:lineRule="auto"/>
            </w:pPr>
            <w:r/>
            <w:r>
              <w:rPr>
                <w:rFonts w:ascii="Aptos" w:hAnsi="Aptos"/>
                <w:b w:val="0"/>
                <w:sz w:val="16"/>
              </w:rPr>
              <w:t>Student</w:t>
            </w:r>
          </w:p>
        </w:tc>
        <w:tc>
          <w:tcPr>
            <w:tcW w:type="dxa" w:w="2494"/>
            <w:vAlign w:val="center"/>
          </w:tcPr>
          <w:p>
            <w:pPr>
              <w:spacing w:before="0" w:after="0" w:line="240" w:lineRule="auto"/>
            </w:pPr>
            <w:r/>
            <w:r>
              <w:rPr>
                <w:rFonts w:ascii="Aptos" w:hAnsi="Aptos"/>
                <w:b w:val="0"/>
                <w:sz w:val="16"/>
              </w:rPr>
            </w:r>
          </w:p>
        </w:tc>
        <w:tc>
          <w:tcPr>
            <w:tcW w:type="dxa" w:w="1984"/>
            <w:vAlign w:val="center"/>
          </w:tcPr>
          <w:p>
            <w:pPr>
              <w:spacing w:before="0" w:after="0" w:line="240" w:lineRule="auto"/>
            </w:pPr>
            <w:r/>
            <w:r>
              <w:rPr>
                <w:rFonts w:ascii="Aptos" w:hAnsi="Aptos"/>
                <w:b w:val="0"/>
                <w:sz w:val="16"/>
              </w:rPr>
            </w:r>
          </w:p>
        </w:tc>
      </w:tr>
      <w:tr>
        <w:trPr>
          <w:cantSplit/>
        </w:trPr>
        <w:tc>
          <w:tcPr>
            <w:tcW w:type="dxa" w:w="3004"/>
            <w:vAlign w:val="center"/>
          </w:tcPr>
          <w:p>
            <w:pPr>
              <w:spacing w:before="0" w:after="0" w:line="240" w:lineRule="auto"/>
            </w:pPr>
            <w:r/>
            <w:r>
              <w:rPr>
                <w:rFonts w:ascii="Aptos" w:hAnsi="Aptos"/>
                <w:b w:val="0"/>
                <w:sz w:val="16"/>
              </w:rPr>
              <w:t>[Client representative name]</w:t>
            </w:r>
          </w:p>
        </w:tc>
        <w:tc>
          <w:tcPr>
            <w:tcW w:type="dxa" w:w="2948"/>
            <w:vAlign w:val="center"/>
          </w:tcPr>
          <w:p>
            <w:pPr>
              <w:spacing w:before="0" w:after="0" w:line="240" w:lineRule="auto"/>
            </w:pPr>
            <w:r/>
            <w:r>
              <w:rPr>
                <w:rFonts w:ascii="Aptos" w:hAnsi="Aptos"/>
                <w:b w:val="0"/>
                <w:sz w:val="16"/>
              </w:rPr>
              <w:t>Client</w:t>
            </w:r>
          </w:p>
        </w:tc>
        <w:tc>
          <w:tcPr>
            <w:tcW w:type="dxa" w:w="2494"/>
            <w:vAlign w:val="center"/>
          </w:tcPr>
          <w:p>
            <w:pPr>
              <w:spacing w:before="0" w:after="0" w:line="240" w:lineRule="auto"/>
            </w:pPr>
            <w:r/>
            <w:r>
              <w:rPr>
                <w:rFonts w:ascii="Aptos" w:hAnsi="Aptos"/>
                <w:b w:val="0"/>
                <w:sz w:val="16"/>
              </w:rPr>
            </w:r>
          </w:p>
        </w:tc>
        <w:tc>
          <w:tcPr>
            <w:tcW w:type="dxa" w:w="1984"/>
            <w:vAlign w:val="center"/>
          </w:tcPr>
          <w:p>
            <w:pPr>
              <w:spacing w:before="0" w:after="0" w:line="240" w:lineRule="auto"/>
            </w:pPr>
            <w:r/>
            <w:r>
              <w:rPr>
                <w:rFonts w:ascii="Aptos" w:hAnsi="Aptos"/>
                <w:b w:val="0"/>
                <w:sz w:val="16"/>
              </w:rPr>
            </w:r>
          </w:p>
        </w:tc>
      </w:tr>
      <w:tr>
        <w:trPr>
          <w:cantSplit/>
        </w:trPr>
        <w:tc>
          <w:tcPr>
            <w:tcW w:type="dxa" w:w="3004"/>
            <w:vAlign w:val="center"/>
          </w:tcPr>
          <w:p>
            <w:r>
              <w:t>Wenhao Liang and Abhilash Sridhara</w:t>
            </w:r>
          </w:p>
        </w:tc>
        <w:tc>
          <w:tcPr>
            <w:tcW w:type="dxa" w:w="2948"/>
            <w:vAlign w:val="center"/>
          </w:tcPr>
          <w:p>
            <w:pPr>
              <w:spacing w:before="0" w:after="0" w:line="240" w:lineRule="auto"/>
            </w:pPr>
            <w:r/>
            <w:r>
              <w:rPr>
                <w:rFonts w:ascii="Aptos" w:hAnsi="Aptos"/>
                <w:b w:val="0"/>
                <w:sz w:val="16"/>
              </w:rPr>
              <w:t>Mentor</w:t>
            </w:r>
          </w:p>
        </w:tc>
        <w:tc>
          <w:tcPr>
            <w:tcW w:type="dxa" w:w="2494"/>
            <w:vAlign w:val="center"/>
          </w:tcPr>
          <w:p>
            <w:pPr>
              <w:spacing w:before="0" w:after="0" w:line="240" w:lineRule="auto"/>
            </w:pPr>
            <w:r/>
            <w:r>
              <w:rPr>
                <w:rFonts w:ascii="Aptos" w:hAnsi="Aptos"/>
                <w:b w:val="0"/>
                <w:sz w:val="16"/>
              </w:rPr>
            </w:r>
          </w:p>
        </w:tc>
        <w:tc>
          <w:tcPr>
            <w:tcW w:type="dxa" w:w="1984"/>
            <w:vAlign w:val="center"/>
          </w:tcPr>
          <w:p>
            <w:pPr>
              <w:spacing w:before="0" w:after="0" w:line="240" w:lineRule="auto"/>
            </w:pPr>
            <w:r/>
            <w:r>
              <w:rPr>
                <w:rFonts w:ascii="Aptos" w:hAnsi="Aptos"/>
                <w:b w:val="0"/>
                <w:sz w:val="16"/>
              </w:rPr>
            </w:r>
          </w:p>
        </w:tc>
      </w:tr>
    </w:tbl>
    <w:sectPr w:rsidR="00331E38" w:rsidRPr="002D286D" w:rsidSect="00E029C7">
      <w:footerReference w:type="default" r:id="rId10"/>
      <w:pgSz w:w="11906" w:h="16838" w:code="9"/>
      <w:pgMar w:top="1020" w:right="1134" w:bottom="1020" w:left="1134"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6E9D5" w14:textId="77777777" w:rsidR="00BA18D3" w:rsidRDefault="00BA18D3">
      <w:pPr>
        <w:spacing w:after="0" w:line="240" w:lineRule="auto"/>
      </w:pPr>
      <w:r>
        <w:separator/>
      </w:r>
    </w:p>
  </w:endnote>
  <w:endnote w:type="continuationSeparator" w:id="0">
    <w:p w14:paraId="2F14885E" w14:textId="77777777" w:rsidR="00BA18D3" w:rsidRDefault="00BA18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64F4B" w14:textId="77777777" w:rsidR="00950C30" w:rsidRPr="002D286D" w:rsidRDefault="00950C30" w:rsidP="002D286D">
    <w:pPr>
      <w:tabs>
        <w:tab w:val="center" w:pos="4550"/>
        <w:tab w:val="left" w:pos="5818"/>
      </w:tabs>
      <w:ind w:right="260"/>
      <w:jc w:val="right"/>
      <w:rPr>
        <w:color w:val="auto"/>
        <w:szCs w:val="24"/>
      </w:rPr>
    </w:pPr>
    <w:r w:rsidRPr="002D286D">
      <w:rPr>
        <w:color w:val="auto"/>
        <w:szCs w:val="24"/>
      </w:rPr>
      <w:t xml:space="preserve">Page </w:t>
    </w:r>
    <w:r w:rsidRPr="002D286D">
      <w:rPr>
        <w:color w:val="auto"/>
        <w:szCs w:val="24"/>
      </w:rPr>
      <w:fldChar w:fldCharType="begin"/>
    </w:r>
    <w:r w:rsidRPr="002D286D">
      <w:rPr>
        <w:color w:val="auto"/>
        <w:szCs w:val="24"/>
      </w:rPr>
      <w:instrText xml:space="preserve"> PAGE   \* MERGEFORMAT </w:instrText>
    </w:r>
    <w:r w:rsidRPr="002D286D">
      <w:rPr>
        <w:color w:val="auto"/>
        <w:szCs w:val="24"/>
      </w:rPr>
      <w:fldChar w:fldCharType="separate"/>
    </w:r>
    <w:r w:rsidR="004B5AB9">
      <w:rPr>
        <w:noProof/>
        <w:color w:val="auto"/>
        <w:szCs w:val="24"/>
      </w:rPr>
      <w:t>1</w:t>
    </w:r>
    <w:r w:rsidRPr="002D286D">
      <w:rPr>
        <w:color w:val="auto"/>
        <w:szCs w:val="24"/>
      </w:rPr>
      <w:fldChar w:fldCharType="end"/>
    </w:r>
    <w:r w:rsidRPr="002D286D">
      <w:rPr>
        <w:color w:val="auto"/>
        <w:szCs w:val="24"/>
      </w:rPr>
      <w:t xml:space="preserve"> of </w:t>
    </w:r>
    <w:r w:rsidRPr="002D286D">
      <w:rPr>
        <w:color w:val="auto"/>
        <w:szCs w:val="24"/>
      </w:rPr>
      <w:fldChar w:fldCharType="begin"/>
    </w:r>
    <w:r w:rsidRPr="002D286D">
      <w:rPr>
        <w:color w:val="auto"/>
        <w:szCs w:val="24"/>
      </w:rPr>
      <w:instrText xml:space="preserve"> NUMPAGES  \* Arabic  \* MERGEFORMAT </w:instrText>
    </w:r>
    <w:r w:rsidRPr="002D286D">
      <w:rPr>
        <w:color w:val="auto"/>
        <w:szCs w:val="24"/>
      </w:rPr>
      <w:fldChar w:fldCharType="separate"/>
    </w:r>
    <w:r w:rsidR="004B5AB9">
      <w:rPr>
        <w:noProof/>
        <w:color w:val="auto"/>
        <w:szCs w:val="24"/>
      </w:rPr>
      <w:t>4</w:t>
    </w:r>
    <w:r w:rsidRPr="002D286D">
      <w:rPr>
        <w:color w:val="auto"/>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66F09" w14:textId="77777777" w:rsidR="00BA18D3" w:rsidRDefault="00BA18D3">
      <w:pPr>
        <w:spacing w:after="0" w:line="240" w:lineRule="auto"/>
      </w:pPr>
      <w:r>
        <w:separator/>
      </w:r>
    </w:p>
  </w:footnote>
  <w:footnote w:type="continuationSeparator" w:id="0">
    <w:p w14:paraId="47664F46" w14:textId="77777777" w:rsidR="00BA18D3" w:rsidRDefault="00BA18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1CE9F1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5BD582D"/>
    <w:multiLevelType w:val="hybridMultilevel"/>
    <w:tmpl w:val="E36C5F02"/>
    <w:lvl w:ilvl="0" w:tplc="E6640BB8">
      <w:start w:val="1"/>
      <w:numFmt w:val="decimal"/>
      <w:pStyle w:val="Heading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605953"/>
    <w:multiLevelType w:val="hybridMultilevel"/>
    <w:tmpl w:val="393633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657E5D71"/>
    <w:multiLevelType w:val="hybridMultilevel"/>
    <w:tmpl w:val="BFBE56B6"/>
    <w:lvl w:ilvl="0" w:tplc="DF622CE6">
      <w:start w:val="1"/>
      <w:numFmt w:val="bullet"/>
      <w:pStyle w:val="ListBullet"/>
      <w:lvlText w:val=""/>
      <w:lvlJc w:val="left"/>
      <w:pPr>
        <w:tabs>
          <w:tab w:val="num" w:pos="360"/>
        </w:tabs>
        <w:ind w:left="432" w:hanging="288"/>
      </w:pPr>
      <w:rPr>
        <w:rFonts w:ascii="Symbol" w:hAnsi="Symbol" w:hint="default"/>
        <w:color w:val="5B9BD5"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1908678">
    <w:abstractNumId w:val="0"/>
  </w:num>
  <w:num w:numId="2" w16cid:durableId="1462457783">
    <w:abstractNumId w:val="3"/>
  </w:num>
  <w:num w:numId="3" w16cid:durableId="76831773">
    <w:abstractNumId w:val="3"/>
    <w:lvlOverride w:ilvl="0">
      <w:startOverride w:val="1"/>
    </w:lvlOverride>
  </w:num>
  <w:num w:numId="4" w16cid:durableId="1298492346">
    <w:abstractNumId w:val="1"/>
  </w:num>
  <w:num w:numId="5" w16cid:durableId="316347260">
    <w:abstractNumId w:val="1"/>
  </w:num>
  <w:num w:numId="6" w16cid:durableId="4944918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DBD"/>
    <w:rsid w:val="00081007"/>
    <w:rsid w:val="000A5969"/>
    <w:rsid w:val="000B3B00"/>
    <w:rsid w:val="000C1200"/>
    <w:rsid w:val="000C4DA9"/>
    <w:rsid w:val="000C58E0"/>
    <w:rsid w:val="000F6DBD"/>
    <w:rsid w:val="00130BC0"/>
    <w:rsid w:val="0018587F"/>
    <w:rsid w:val="001C3DB3"/>
    <w:rsid w:val="001E46B7"/>
    <w:rsid w:val="00212474"/>
    <w:rsid w:val="002D286D"/>
    <w:rsid w:val="00314192"/>
    <w:rsid w:val="00331E38"/>
    <w:rsid w:val="003343BD"/>
    <w:rsid w:val="0036755B"/>
    <w:rsid w:val="003716E7"/>
    <w:rsid w:val="0037710E"/>
    <w:rsid w:val="003A23CB"/>
    <w:rsid w:val="003D366E"/>
    <w:rsid w:val="003E6D2A"/>
    <w:rsid w:val="003F68EF"/>
    <w:rsid w:val="00421FB1"/>
    <w:rsid w:val="00476077"/>
    <w:rsid w:val="004851D0"/>
    <w:rsid w:val="004B5AB9"/>
    <w:rsid w:val="004C2AA5"/>
    <w:rsid w:val="004C7A88"/>
    <w:rsid w:val="004D333B"/>
    <w:rsid w:val="004D5A39"/>
    <w:rsid w:val="004E5FD1"/>
    <w:rsid w:val="004F621B"/>
    <w:rsid w:val="0052536B"/>
    <w:rsid w:val="005364D8"/>
    <w:rsid w:val="00590DED"/>
    <w:rsid w:val="005E2203"/>
    <w:rsid w:val="005E34B3"/>
    <w:rsid w:val="00644D3C"/>
    <w:rsid w:val="00646176"/>
    <w:rsid w:val="00651F0B"/>
    <w:rsid w:val="00675CE4"/>
    <w:rsid w:val="006E2E5C"/>
    <w:rsid w:val="006E7EE5"/>
    <w:rsid w:val="00740F4B"/>
    <w:rsid w:val="007525E5"/>
    <w:rsid w:val="00765B79"/>
    <w:rsid w:val="007745EE"/>
    <w:rsid w:val="00811E92"/>
    <w:rsid w:val="00831C6D"/>
    <w:rsid w:val="008463D2"/>
    <w:rsid w:val="00870A4E"/>
    <w:rsid w:val="00876147"/>
    <w:rsid w:val="00887338"/>
    <w:rsid w:val="008E3B75"/>
    <w:rsid w:val="008E5DB5"/>
    <w:rsid w:val="008E7442"/>
    <w:rsid w:val="009378E9"/>
    <w:rsid w:val="00950C30"/>
    <w:rsid w:val="00970D43"/>
    <w:rsid w:val="0097444E"/>
    <w:rsid w:val="0099266F"/>
    <w:rsid w:val="009B3B67"/>
    <w:rsid w:val="009C2C90"/>
    <w:rsid w:val="009D3061"/>
    <w:rsid w:val="009E0D6F"/>
    <w:rsid w:val="009E731C"/>
    <w:rsid w:val="009F1371"/>
    <w:rsid w:val="00A25D25"/>
    <w:rsid w:val="00A62383"/>
    <w:rsid w:val="00A92D74"/>
    <w:rsid w:val="00AA0D1F"/>
    <w:rsid w:val="00AD7AC1"/>
    <w:rsid w:val="00B146B5"/>
    <w:rsid w:val="00B318C8"/>
    <w:rsid w:val="00B97D00"/>
    <w:rsid w:val="00BA18D3"/>
    <w:rsid w:val="00BC7F03"/>
    <w:rsid w:val="00BE0E4A"/>
    <w:rsid w:val="00BE2FB8"/>
    <w:rsid w:val="00BF11E8"/>
    <w:rsid w:val="00C31EF9"/>
    <w:rsid w:val="00C33639"/>
    <w:rsid w:val="00C36795"/>
    <w:rsid w:val="00CD3E1B"/>
    <w:rsid w:val="00D42C5A"/>
    <w:rsid w:val="00D549AA"/>
    <w:rsid w:val="00DB73B5"/>
    <w:rsid w:val="00DF7417"/>
    <w:rsid w:val="00E029C7"/>
    <w:rsid w:val="00E36F53"/>
    <w:rsid w:val="00E7289C"/>
    <w:rsid w:val="00EA1950"/>
    <w:rsid w:val="00ED08E5"/>
    <w:rsid w:val="00EE48FC"/>
    <w:rsid w:val="00F11161"/>
    <w:rsid w:val="00F1459E"/>
    <w:rsid w:val="00F425DB"/>
    <w:rsid w:val="00F52062"/>
    <w:rsid w:val="00F66F72"/>
    <w:rsid w:val="00FB6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072FBD"/>
  <w15:chartTrackingRefBased/>
  <w15:docId w15:val="{801E9ED8-CDDA-4EA1-99CD-D8AD2462E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8EF"/>
    <w:rPr>
      <w:rFonts w:ascii="Aptos" w:hAnsi="Aptos" w:eastAsia="Aptos"/>
      <w:sz w:val="21"/>
    </w:rPr>
  </w:style>
  <w:style w:type="paragraph" w:styleId="Heading1">
    <w:name w:val="heading 1"/>
    <w:basedOn w:val="Normal"/>
    <w:next w:val="Normal"/>
    <w:link w:val="Heading1Char"/>
    <w:uiPriority w:val="9"/>
    <w:qFormat/>
    <w:pPr>
      <w:keepNext/>
      <w:keepLines/>
      <w:spacing w:before="600" w:after="240" w:line="240" w:lineRule="auto"/>
      <w:outlineLvl w:val="0"/>
    </w:pPr>
    <w:rPr>
      <w:rFonts w:ascii="Aptos Display" w:hAnsi="Aptos Display" w:eastAsia="Aptos Display"/>
      <w:b/>
      <w:bCs/>
      <w:caps/>
      <w:color w:val="1F4E79"/>
      <w:sz w:val="28"/>
    </w:rPr>
  </w:style>
  <w:style w:type="paragraph" w:styleId="Heading2">
    <w:name w:val="heading 2"/>
    <w:basedOn w:val="Normal"/>
    <w:next w:val="Normal"/>
    <w:link w:val="Heading2Char"/>
    <w:uiPriority w:val="9"/>
    <w:unhideWhenUsed/>
    <w:qFormat/>
    <w:pPr>
      <w:keepNext/>
      <w:keepLines/>
      <w:numPr>
        <w:numId w:val="4"/>
      </w:numPr>
      <w:spacing w:before="360" w:after="120" w:line="240" w:lineRule="auto"/>
      <w:outlineLvl w:val="1"/>
    </w:pPr>
    <w:rPr>
      <w:rFonts w:ascii="Aptos Display" w:hAnsi="Aptos Display" w:eastAsia="Aptos Display"/>
      <w:b/>
      <w:bCs/>
      <w:color w:val="1F4E79"/>
      <w:sz w:val="24"/>
    </w:rPr>
  </w:style>
  <w:style w:type="paragraph" w:styleId="Heading3">
    <w:name w:val="heading 3"/>
    <w:basedOn w:val="Normal"/>
    <w:next w:val="Normal"/>
    <w:link w:val="Heading3Char"/>
    <w:uiPriority w:val="9"/>
    <w:unhideWhenUsed/>
    <w:qFormat/>
    <w:rsid w:val="003F68EF"/>
    <w:pPr>
      <w:keepNext/>
      <w:keepLines/>
      <w:spacing w:before="40" w:after="0"/>
      <w:outlineLvl w:val="2"/>
    </w:pPr>
    <w:rPr>
      <w:rFonts w:asciiTheme="majorHAnsi" w:eastAsiaTheme="majorEastAsia" w:hAnsiTheme="majorHAnsi" w:cstheme="majorBidi" w:ascii="Aptos Display" w:hAnsi="Aptos Display" w:eastAsia="Aptos Display"/>
      <w:color w:val="1F4E79"/>
      <w:sz w:val="24"/>
      <w:szCs w:val="24"/>
    </w:rPr>
  </w:style>
  <w:style w:type="paragraph" w:styleId="Heading4">
    <w:name w:val="heading 4"/>
    <w:basedOn w:val="Normal"/>
    <w:next w:val="Normal"/>
    <w:link w:val="Heading4Char"/>
    <w:uiPriority w:val="9"/>
    <w:unhideWhenUsed/>
    <w:qFormat/>
    <w:rsid w:val="003F68E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970D4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pBdr>
        <w:left w:val="double" w:sz="18" w:space="4" w:color="1F4E79" w:themeColor="accent1" w:themeShade="80"/>
      </w:pBdr>
      <w:spacing w:after="0" w:line="420" w:lineRule="exact"/>
    </w:pPr>
    <w:rPr>
      <w:rFonts w:asciiTheme="majorHAnsi" w:eastAsiaTheme="majorEastAsia" w:hAnsiTheme="majorHAnsi" w:cstheme="majorBidi"/>
      <w:caps/>
      <w:color w:val="1F4E79" w:themeColor="accent1" w:themeShade="80"/>
      <w:kern w:val="28"/>
      <w:sz w:val="38"/>
    </w:rPr>
  </w:style>
  <w:style w:type="character" w:customStyle="1" w:styleId="TitleChar">
    <w:name w:val="Title Char"/>
    <w:basedOn w:val="DefaultParagraphFont"/>
    <w:link w:val="Title"/>
    <w:uiPriority w:val="10"/>
    <w:rPr>
      <w:rFonts w:asciiTheme="majorHAnsi" w:eastAsiaTheme="majorEastAsia" w:hAnsiTheme="majorHAnsi" w:cstheme="majorBidi"/>
      <w:caps/>
      <w:color w:val="1F4E79" w:themeColor="accent1" w:themeShade="80"/>
      <w:kern w:val="28"/>
      <w:sz w:val="3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pPr>
      <w:numPr>
        <w:ilvl w:val="1"/>
      </w:numPr>
      <w:pBdr>
        <w:left w:val="double" w:sz="18" w:space="4" w:color="1F4E79" w:themeColor="accent1" w:themeShade="80"/>
      </w:pBdr>
      <w:spacing w:before="80" w:after="0" w:line="280" w:lineRule="exact"/>
    </w:pPr>
    <w:rPr>
      <w:b/>
      <w:bCs/>
      <w:color w:val="5B9BD5" w:themeColor="accent1"/>
      <w:sz w:val="24"/>
    </w:rPr>
  </w:style>
  <w:style w:type="character" w:customStyle="1" w:styleId="SubtitleChar">
    <w:name w:val="Subtitle Char"/>
    <w:basedOn w:val="DefaultParagraphFont"/>
    <w:link w:val="Subtitle"/>
    <w:uiPriority w:val="11"/>
    <w:rPr>
      <w:b/>
      <w:bCs/>
      <w:color w:val="5B9BD5" w:themeColor="accent1"/>
      <w:sz w:val="24"/>
    </w:rPr>
  </w:style>
  <w:style w:type="character" w:customStyle="1" w:styleId="Heading1Char">
    <w:name w:val="Heading 1 Char"/>
    <w:basedOn w:val="DefaultParagraphFont"/>
    <w:link w:val="Heading1"/>
    <w:uiPriority w:val="9"/>
    <w:rPr>
      <w:b/>
      <w:bCs/>
      <w:caps/>
      <w:color w:val="1F4E79" w:themeColor="accent1" w:themeShade="80"/>
      <w:sz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customStyle="1" w:styleId="TipText">
    <w:name w:val="Tip Text"/>
    <w:basedOn w:val="Normal"/>
    <w:uiPriority w:val="99"/>
    <w:pPr>
      <w:spacing w:after="160" w:line="264" w:lineRule="auto"/>
      <w:ind w:right="576"/>
    </w:pPr>
    <w:rPr>
      <w:i/>
      <w:iCs/>
      <w:color w:val="7F7F7F" w:themeColor="text1" w:themeTint="80"/>
      <w:sz w:val="16"/>
    </w:rPr>
  </w:style>
  <w:style w:type="character" w:styleId="PlaceholderText">
    <w:name w:val="Placeholder Text"/>
    <w:basedOn w:val="DefaultParagraphFont"/>
    <w:uiPriority w:val="99"/>
    <w:semiHidden/>
    <w:rPr>
      <w:color w:val="808080"/>
    </w:rPr>
  </w:style>
  <w:style w:type="paragraph" w:styleId="NoSpacing">
    <w:name w:val="No Spacing"/>
    <w:uiPriority w:val="36"/>
    <w:qFormat/>
    <w:pPr>
      <w:spacing w:after="0" w:line="240" w:lineRule="auto"/>
    </w:pPr>
  </w:style>
  <w:style w:type="character" w:customStyle="1" w:styleId="Heading2Char">
    <w:name w:val="Heading 2 Char"/>
    <w:basedOn w:val="DefaultParagraphFont"/>
    <w:link w:val="Heading2"/>
    <w:uiPriority w:val="9"/>
    <w:rPr>
      <w:b/>
      <w:bCs/>
      <w:color w:val="5B9BD5" w:themeColor="accent1"/>
      <w:sz w:val="24"/>
    </w:rPr>
  </w:style>
  <w:style w:type="paragraph" w:styleId="ListBullet">
    <w:name w:val="List Bullet"/>
    <w:basedOn w:val="Normal"/>
    <w:uiPriority w:val="1"/>
    <w:unhideWhenUsed/>
    <w:qFormat/>
    <w:pPr>
      <w:numPr>
        <w:numId w:val="2"/>
      </w:numPr>
      <w:spacing w:after="6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before="200" w:after="0" w:line="240" w:lineRule="auto"/>
      <w:contextualSpacing/>
      <w:jc w:val="right"/>
    </w:pPr>
    <w:rPr>
      <w:rFonts w:asciiTheme="majorHAnsi" w:eastAsiaTheme="majorEastAsia" w:hAnsiTheme="majorHAnsi" w:cstheme="majorBidi"/>
      <w:noProof/>
      <w:color w:val="1F4E79" w:themeColor="accent1" w:themeShade="80"/>
    </w:rPr>
  </w:style>
  <w:style w:type="character" w:customStyle="1" w:styleId="FooterChar">
    <w:name w:val="Footer Char"/>
    <w:basedOn w:val="DefaultParagraphFont"/>
    <w:link w:val="Footer"/>
    <w:uiPriority w:val="99"/>
    <w:rPr>
      <w:rFonts w:asciiTheme="majorHAnsi" w:eastAsiaTheme="majorEastAsia" w:hAnsiTheme="majorHAnsi" w:cstheme="majorBidi"/>
      <w:noProof/>
      <w:color w:val="1F4E79" w:themeColor="accent1" w:themeShade="80"/>
      <w:sz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leNormal"/>
    <w:uiPriority w:val="99"/>
    <w:pPr>
      <w:spacing w:before="120" w:after="120" w:line="240" w:lineRule="auto"/>
    </w:p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paragraph" w:styleId="FootnoteText">
    <w:name w:val="footnote text"/>
    <w:basedOn w:val="Normal"/>
    <w:link w:val="FootnoteTextChar"/>
    <w:uiPriority w:val="12"/>
    <w:unhideWhenUsed/>
    <w:pPr>
      <w:spacing w:before="140" w:after="0" w:line="240" w:lineRule="auto"/>
    </w:pPr>
    <w:rPr>
      <w:i/>
      <w:iCs/>
      <w:sz w:val="14"/>
    </w:rPr>
  </w:style>
  <w:style w:type="character" w:customStyle="1" w:styleId="FootnoteTextChar">
    <w:name w:val="Footnote Text Char"/>
    <w:basedOn w:val="DefaultParagraphFont"/>
    <w:link w:val="FootnoteText"/>
    <w:uiPriority w:val="12"/>
    <w:rPr>
      <w:i/>
      <w:iCs/>
      <w:sz w:val="14"/>
    </w:rPr>
  </w:style>
  <w:style w:type="paragraph" w:customStyle="1" w:styleId="TeamNames">
    <w:name w:val="Team Names"/>
    <w:basedOn w:val="Subtitle"/>
    <w:link w:val="TeamNamesChar"/>
    <w:qFormat/>
    <w:rsid w:val="000F6DBD"/>
  </w:style>
  <w:style w:type="character" w:customStyle="1" w:styleId="Heading3Char">
    <w:name w:val="Heading 3 Char"/>
    <w:basedOn w:val="DefaultParagraphFont"/>
    <w:link w:val="Heading3"/>
    <w:uiPriority w:val="9"/>
    <w:rsid w:val="003F68EF"/>
    <w:rPr>
      <w:rFonts w:asciiTheme="majorHAnsi" w:eastAsiaTheme="majorEastAsia" w:hAnsiTheme="majorHAnsi" w:cstheme="majorBidi"/>
      <w:color w:val="1F4D78" w:themeColor="accent1" w:themeShade="7F"/>
      <w:sz w:val="24"/>
      <w:szCs w:val="24"/>
    </w:rPr>
  </w:style>
  <w:style w:type="character" w:customStyle="1" w:styleId="TeamNamesChar">
    <w:name w:val="Team Names Char"/>
    <w:basedOn w:val="SubtitleChar"/>
    <w:link w:val="TeamNames"/>
    <w:rsid w:val="000F6DBD"/>
    <w:rPr>
      <w:b/>
      <w:bCs/>
      <w:color w:val="5B9BD5" w:themeColor="accent1"/>
      <w:sz w:val="24"/>
    </w:rPr>
  </w:style>
  <w:style w:type="character" w:customStyle="1" w:styleId="Heading4Char">
    <w:name w:val="Heading 4 Char"/>
    <w:basedOn w:val="DefaultParagraphFont"/>
    <w:link w:val="Heading4"/>
    <w:uiPriority w:val="9"/>
    <w:rsid w:val="003F68E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970D43"/>
    <w:rPr>
      <w:rFonts w:asciiTheme="majorHAnsi" w:eastAsiaTheme="majorEastAsia" w:hAnsiTheme="majorHAnsi" w:cstheme="majorBidi"/>
      <w:color w:val="2E74B5" w:themeColor="accent1" w:themeShade="BF"/>
      <w:sz w:val="20"/>
    </w:rPr>
  </w:style>
  <w:style w:type="paragraph" w:styleId="ListParagraph">
    <w:name w:val="List Paragraph"/>
    <w:basedOn w:val="Normal"/>
    <w:uiPriority w:val="34"/>
    <w:unhideWhenUsed/>
    <w:qFormat/>
    <w:rsid w:val="00A62383"/>
    <w:pPr>
      <w:ind w:left="720"/>
      <w:contextualSpacing/>
    </w:pPr>
  </w:style>
  <w:style w:type="paragraph" w:customStyle="1" w:styleId="ProposalTitle">
    <w:name w:val="Proposal Title"/>
    <w:pPr>
      <w:spacing w:after="160"/>
    </w:pPr>
    <w:rPr>
      <w:rFonts w:ascii="Aptos Display" w:hAnsi="Aptos Display"/>
      <w:b/>
      <w:color w:val="1F4E79"/>
      <w:sz w:val="48"/>
    </w:rPr>
  </w:style>
  <w:style w:type="paragraph" w:customStyle="1" w:styleId="ProposalSubtitle">
    <w:name w:val="Proposal Subtitle"/>
    <w:pPr>
      <w:spacing w:after="320"/>
    </w:pPr>
    <w:rPr>
      <w:rFonts w:ascii="Aptos Display" w:hAnsi="Aptos Display"/>
      <w:b/>
      <w:color w:val="2F5496"/>
      <w:sz w:val="62"/>
    </w:rPr>
  </w:style>
  <w:style w:type="paragraph" w:customStyle="1" w:styleId="ProposalSubheading">
    <w:name w:val="Proposal Subheading"/>
    <w:pPr>
      <w:keepNext/>
      <w:spacing w:before="160" w:after="80"/>
    </w:pPr>
    <w:rPr>
      <w:rFonts w:ascii="Aptos Display" w:hAnsi="Aptos Display"/>
      <w:b/>
      <w:color w:val="1F4E79"/>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1E531D692B8464EBA950DC651707AC7"/>
        <w:category>
          <w:name w:val="General"/>
          <w:gallery w:val="placeholder"/>
        </w:category>
        <w:types>
          <w:type w:val="bbPlcHdr"/>
        </w:types>
        <w:behaviors>
          <w:behavior w:val="content"/>
        </w:behaviors>
        <w:guid w:val="{A6FE9EB1-D105-4ABE-A3A5-E5264C57AA26}"/>
      </w:docPartPr>
      <w:docPartBody>
        <w:p w:rsidR="007F20F3" w:rsidRDefault="00BE1102" w:rsidP="00BE1102">
          <w:pPr>
            <w:pStyle w:val="C1E531D692B8464EBA950DC651707AC72"/>
          </w:pPr>
          <w:r w:rsidRPr="002D286D">
            <w:rPr>
              <w:lang w:val="en-AU"/>
            </w:rPr>
            <w:t>[Project Title]</w:t>
          </w:r>
        </w:p>
      </w:docPartBody>
    </w:docPart>
    <w:docPart>
      <w:docPartPr>
        <w:name w:val="878C14744D8446A985FD9C36345431DF"/>
        <w:category>
          <w:name w:val="General"/>
          <w:gallery w:val="placeholder"/>
        </w:category>
        <w:types>
          <w:type w:val="bbPlcHdr"/>
        </w:types>
        <w:behaviors>
          <w:behavior w:val="content"/>
        </w:behaviors>
        <w:guid w:val="{4C1FA2BE-3C2F-458B-A734-84F6D6D14CB9}"/>
      </w:docPartPr>
      <w:docPartBody>
        <w:p w:rsidR="007F20F3" w:rsidRDefault="00BE1102" w:rsidP="00BE1102">
          <w:pPr>
            <w:pStyle w:val="878C14744D8446A985FD9C36345431DF2"/>
          </w:pPr>
          <w:r w:rsidRPr="002D286D">
            <w:rPr>
              <w:lang w:val="en-AU"/>
            </w:rPr>
            <w:t>[Select Date]</w:t>
          </w:r>
        </w:p>
      </w:docPartBody>
    </w:docPart>
    <w:docPart>
      <w:docPartPr>
        <w:name w:val="05FB5A7B12874EDDA602FB3D26B7D1BE"/>
        <w:category>
          <w:name w:val="General"/>
          <w:gallery w:val="placeholder"/>
        </w:category>
        <w:types>
          <w:type w:val="bbPlcHdr"/>
        </w:types>
        <w:behaviors>
          <w:behavior w:val="content"/>
        </w:behaviors>
        <w:guid w:val="{61D2F738-B431-47ED-AA2C-5F882915FE0A}"/>
      </w:docPartPr>
      <w:docPartBody>
        <w:p w:rsidR="00BE1102" w:rsidRPr="002D286D" w:rsidRDefault="00BE1102">
          <w:pPr>
            <w:rPr>
              <w:rStyle w:val="PlaceholderText"/>
              <w:sz w:val="2"/>
            </w:rPr>
          </w:pPr>
        </w:p>
        <w:tbl>
          <w:tblPr>
            <w:tblStyle w:val="ProjectScopeTable"/>
            <w:tblW w:w="0" w:type="auto"/>
            <w:tblLook w:val="04A0" w:firstRow="1" w:lastRow="0" w:firstColumn="1" w:lastColumn="0" w:noHBand="0" w:noVBand="1"/>
          </w:tblPr>
          <w:tblGrid>
            <w:gridCol w:w="9016"/>
          </w:tblGrid>
          <w:tr w:rsidR="00BE1102" w:rsidRPr="002D286D" w:rsidTr="000F6DBD">
            <w:trPr>
              <w:cnfStyle w:val="100000000000" w:firstRow="1" w:lastRow="0" w:firstColumn="0" w:lastColumn="0" w:oddVBand="0" w:evenVBand="0" w:oddHBand="0" w:evenHBand="0" w:firstRowFirstColumn="0" w:firstRowLastColumn="0" w:lastRowFirstColumn="0" w:lastRowLastColumn="0"/>
            </w:trPr>
            <w:tc>
              <w:tcPr>
                <w:tcW w:w="9350" w:type="dxa"/>
              </w:tcPr>
              <w:p w:rsidR="00BE1102" w:rsidRPr="002D286D" w:rsidRDefault="00BE1102">
                <w:pPr>
                  <w:rPr>
                    <w:rStyle w:val="PlaceholderText"/>
                    <w:b w:val="0"/>
                    <w:lang w:val="en-AU"/>
                  </w:rPr>
                </w:pPr>
                <w:r w:rsidRPr="002D286D">
                  <w:rPr>
                    <w:rStyle w:val="PlaceholderText"/>
                    <w:b w:val="0"/>
                    <w:lang w:val="en-AU"/>
                  </w:rPr>
                  <w:t>In this section, you should provide an overview of your host organi</w:t>
                </w:r>
                <w:r>
                  <w:rPr>
                    <w:rStyle w:val="PlaceholderText"/>
                    <w:b w:val="0"/>
                    <w:lang w:val="en-AU"/>
                  </w:rPr>
                  <w:t>s</w:t>
                </w:r>
                <w:r w:rsidRPr="002D286D">
                  <w:rPr>
                    <w:rStyle w:val="PlaceholderText"/>
                    <w:b w:val="0"/>
                    <w:lang w:val="en-AU"/>
                  </w:rPr>
                  <w:t>ation’s business</w:t>
                </w:r>
                <w:r>
                  <w:rPr>
                    <w:rStyle w:val="PlaceholderText"/>
                    <w:b w:val="0"/>
                    <w:lang w:val="en-AU"/>
                  </w:rPr>
                  <w:t>, the context within which they operate, the project that you will be undertaking and its importance to the organisation. This section should also highlight the objectives of the project and associated benefits to the organisation.</w:t>
                </w:r>
              </w:p>
            </w:tc>
          </w:tr>
        </w:tbl>
        <w:p w:rsidR="007F20F3" w:rsidRDefault="00BE1102" w:rsidP="00BE1102">
          <w:pPr>
            <w:pStyle w:val="05FB5A7B12874EDDA602FB3D26B7D1BE2"/>
          </w:pPr>
          <w:r w:rsidRPr="002D286D">
            <w:rPr>
              <w:rStyle w:val="PlaceholderText"/>
              <w:sz w:val="16"/>
              <w:lang w:val="en-AU"/>
            </w:rPr>
            <w:t xml:space="preserve"> </w:t>
          </w:r>
        </w:p>
      </w:docPartBody>
    </w:docPart>
    <w:docPart>
      <w:docPartPr>
        <w:name w:val="4D90955BA4694F94801EE434DBF2BD5D"/>
        <w:category>
          <w:name w:val="General"/>
          <w:gallery w:val="placeholder"/>
        </w:category>
        <w:types>
          <w:type w:val="bbPlcHdr"/>
        </w:types>
        <w:behaviors>
          <w:behavior w:val="content"/>
        </w:behaviors>
        <w:guid w:val="{7D857591-5702-4C9E-A753-D3B66D8523AC}"/>
      </w:docPartPr>
      <w:docPartBody>
        <w:p w:rsidR="007F20F3" w:rsidRDefault="00BE1102" w:rsidP="00BE1102">
          <w:pPr>
            <w:pStyle w:val="4D90955BA4694F94801EE434DBF2BD5D2"/>
          </w:pPr>
          <w:r w:rsidRPr="002D286D">
            <w:rPr>
              <w:lang w:val="en-AU"/>
            </w:rPr>
            <w:t>Team Member Names</w:t>
          </w:r>
        </w:p>
      </w:docPartBody>
    </w:docPart>
    <w:docPart>
      <w:docPartPr>
        <w:name w:val="7D8B63CE996F49CBAD65BE5F8B9DFBB2"/>
        <w:category>
          <w:name w:val="General"/>
          <w:gallery w:val="placeholder"/>
        </w:category>
        <w:types>
          <w:type w:val="bbPlcHdr"/>
        </w:types>
        <w:behaviors>
          <w:behavior w:val="content"/>
        </w:behaviors>
        <w:guid w:val="{0A92738A-0C61-4ECB-879C-CB59BDFF15AF}"/>
      </w:docPartPr>
      <w:docPartBody>
        <w:p w:rsidR="00BE1102" w:rsidRPr="002D286D" w:rsidRDefault="00BE1102" w:rsidP="009B3B67">
          <w:pPr>
            <w:rPr>
              <w:rStyle w:val="PlaceholderText"/>
              <w:sz w:val="2"/>
            </w:rPr>
          </w:pPr>
        </w:p>
        <w:tbl>
          <w:tblPr>
            <w:tblStyle w:val="ProjectScopeTable"/>
            <w:tblW w:w="0" w:type="auto"/>
            <w:tblLook w:val="04A0" w:firstRow="1" w:lastRow="0" w:firstColumn="1" w:lastColumn="0" w:noHBand="0" w:noVBand="1"/>
          </w:tblPr>
          <w:tblGrid>
            <w:gridCol w:w="9016"/>
          </w:tblGrid>
          <w:tr w:rsidR="00BE1102" w:rsidRPr="002D286D" w:rsidTr="009B3B67">
            <w:trPr>
              <w:cnfStyle w:val="100000000000" w:firstRow="1" w:lastRow="0" w:firstColumn="0" w:lastColumn="0" w:oddVBand="0" w:evenVBand="0" w:oddHBand="0" w:evenHBand="0" w:firstRowFirstColumn="0" w:firstRowLastColumn="0" w:lastRowFirstColumn="0" w:lastRowLastColumn="0"/>
            </w:trPr>
            <w:tc>
              <w:tcPr>
                <w:tcW w:w="9350" w:type="dxa"/>
              </w:tcPr>
              <w:p w:rsidR="00BE1102" w:rsidRPr="002D286D" w:rsidRDefault="00BE1102" w:rsidP="009B3B67">
                <w:pPr>
                  <w:rPr>
                    <w:rStyle w:val="PlaceholderText"/>
                    <w:b w:val="0"/>
                    <w:lang w:val="en-AU"/>
                  </w:rPr>
                </w:pPr>
                <w:r w:rsidRPr="002D286D">
                  <w:rPr>
                    <w:rStyle w:val="PlaceholderText"/>
                    <w:b w:val="0"/>
                    <w:lang w:val="en-AU"/>
                  </w:rPr>
                  <w:t xml:space="preserve">Ensure that you include a description of all of the aspects of your project that are within scope in the inclusions section. N.B. Scope inclusions are not the same as deliverables (which come later in the document) and are a higher level description of the aspects of the project that you will be undertaking. </w:t>
                </w:r>
                <w:r>
                  <w:rPr>
                    <w:rStyle w:val="PlaceholderText"/>
                    <w:b w:val="0"/>
                    <w:lang w:val="en-AU"/>
                  </w:rPr>
                  <w:t>The scope inclusions should describe the breadth of work to be undertaken.</w:t>
                </w:r>
              </w:p>
              <w:p w:rsidR="00BE1102" w:rsidRDefault="00BE1102" w:rsidP="009B3B67">
                <w:pPr>
                  <w:rPr>
                    <w:rStyle w:val="PlaceholderText"/>
                    <w:b w:val="0"/>
                    <w:lang w:val="en-AU"/>
                  </w:rPr>
                </w:pPr>
                <w:r w:rsidRPr="002D286D">
                  <w:rPr>
                    <w:rStyle w:val="PlaceholderText"/>
                    <w:b w:val="0"/>
                    <w:lang w:val="en-AU"/>
                  </w:rPr>
                  <w:t xml:space="preserve">You should try to identify any aspects of your project’s </w:t>
                </w:r>
                <w:r w:rsidRPr="002D286D">
                  <w:rPr>
                    <w:rStyle w:val="PlaceholderText"/>
                    <w:lang w:val="en-AU"/>
                  </w:rPr>
                  <w:t>potential</w:t>
                </w:r>
                <w:r w:rsidRPr="002D286D">
                  <w:rPr>
                    <w:rStyle w:val="PlaceholderText"/>
                    <w:b w:val="0"/>
                    <w:lang w:val="en-AU"/>
                  </w:rPr>
                  <w:t xml:space="preserve"> scope that may be out of scope and explicitly list them as exclusions. If this is not appropriate for your project, you can</w:t>
                </w:r>
                <w:r>
                  <w:rPr>
                    <w:rStyle w:val="PlaceholderText"/>
                    <w:b w:val="0"/>
                    <w:lang w:val="en-AU"/>
                  </w:rPr>
                  <w:t xml:space="preserve"> remove the exclusions section.</w:t>
                </w:r>
              </w:p>
              <w:p w:rsidR="00BE1102" w:rsidRDefault="00BE1102" w:rsidP="009B3B67">
                <w:pPr>
                  <w:rPr>
                    <w:rStyle w:val="PlaceholderText"/>
                    <w:b w:val="0"/>
                    <w:lang w:val="en-AU"/>
                  </w:rPr>
                </w:pPr>
                <w:r>
                  <w:rPr>
                    <w:rStyle w:val="PlaceholderText"/>
                    <w:b w:val="0"/>
                    <w:lang w:val="en-AU"/>
                  </w:rPr>
                  <w:t>For example, scope inclusions could include items such as:</w:t>
                </w:r>
              </w:p>
              <w:p w:rsidR="00BE1102" w:rsidRPr="00A62383" w:rsidRDefault="00BE1102" w:rsidP="00BE1102">
                <w:pPr>
                  <w:pStyle w:val="ListParagraph"/>
                  <w:numPr>
                    <w:ilvl w:val="0"/>
                    <w:numId w:val="2"/>
                  </w:numPr>
                  <w:spacing w:after="120" w:line="240" w:lineRule="auto"/>
                  <w:rPr>
                    <w:rStyle w:val="PlaceholderText"/>
                    <w:b w:val="0"/>
                    <w:lang w:val="en-AU"/>
                  </w:rPr>
                </w:pPr>
                <w:r w:rsidRPr="00A62383">
                  <w:rPr>
                    <w:rStyle w:val="PlaceholderText"/>
                    <w:b w:val="0"/>
                    <w:lang w:val="en-AU"/>
                  </w:rPr>
                  <w:t>Process mapping of AS-IS processes</w:t>
                </w:r>
              </w:p>
              <w:p w:rsidR="00BE1102" w:rsidRPr="00A92D74" w:rsidRDefault="00BE1102" w:rsidP="00BE1102">
                <w:pPr>
                  <w:pStyle w:val="ListParagraph"/>
                  <w:numPr>
                    <w:ilvl w:val="0"/>
                    <w:numId w:val="2"/>
                  </w:numPr>
                  <w:spacing w:after="120" w:line="240" w:lineRule="auto"/>
                  <w:rPr>
                    <w:rStyle w:val="PlaceholderText"/>
                    <w:b w:val="0"/>
                    <w:lang w:val="en-AU"/>
                  </w:rPr>
                </w:pPr>
                <w:r>
                  <w:rPr>
                    <w:rStyle w:val="PlaceholderText"/>
                    <w:b w:val="0"/>
                    <w:lang w:val="en-AU"/>
                  </w:rPr>
                  <w:t>Analysis of customer requirements for product/service</w:t>
                </w:r>
              </w:p>
            </w:tc>
          </w:tr>
        </w:tbl>
        <w:p w:rsidR="007F20F3" w:rsidRDefault="00BE1102" w:rsidP="00BE1102">
          <w:pPr>
            <w:pStyle w:val="7D8B63CE996F49CBAD65BE5F8B9DFBB22"/>
          </w:pPr>
          <w:r w:rsidRPr="002D286D">
            <w:rPr>
              <w:rStyle w:val="PlaceholderText"/>
              <w:sz w:val="16"/>
              <w:lang w:val="en-AU"/>
            </w:rPr>
            <w:t xml:space="preserve"> </w:t>
          </w:r>
        </w:p>
      </w:docPartBody>
    </w:docPart>
    <w:docPart>
      <w:docPartPr>
        <w:name w:val="926140469FCB4EB093DE7EB6695B7CB1"/>
        <w:category>
          <w:name w:val="General"/>
          <w:gallery w:val="placeholder"/>
        </w:category>
        <w:types>
          <w:type w:val="bbPlcHdr"/>
        </w:types>
        <w:behaviors>
          <w:behavior w:val="content"/>
        </w:behaviors>
        <w:guid w:val="{D5C369D9-56C9-4A1F-8DA1-14D5304159B0}"/>
      </w:docPartPr>
      <w:docPartBody>
        <w:p w:rsidR="00BE1102" w:rsidRPr="002D286D" w:rsidRDefault="00BE1102" w:rsidP="009B3B67">
          <w:pPr>
            <w:rPr>
              <w:rStyle w:val="PlaceholderText"/>
              <w:sz w:val="2"/>
            </w:rPr>
          </w:pPr>
        </w:p>
        <w:tbl>
          <w:tblPr>
            <w:tblStyle w:val="ProjectScopeTable"/>
            <w:tblW w:w="0" w:type="auto"/>
            <w:tblLook w:val="04A0" w:firstRow="1" w:lastRow="0" w:firstColumn="1" w:lastColumn="0" w:noHBand="0" w:noVBand="1"/>
          </w:tblPr>
          <w:tblGrid>
            <w:gridCol w:w="9016"/>
          </w:tblGrid>
          <w:tr w:rsidR="00BE1102" w:rsidRPr="002D286D" w:rsidTr="009B3B67">
            <w:trPr>
              <w:cnfStyle w:val="100000000000" w:firstRow="1" w:lastRow="0" w:firstColumn="0" w:lastColumn="0" w:oddVBand="0" w:evenVBand="0" w:oddHBand="0" w:evenHBand="0" w:firstRowFirstColumn="0" w:firstRowLastColumn="0" w:lastRowFirstColumn="0" w:lastRowLastColumn="0"/>
            </w:trPr>
            <w:tc>
              <w:tcPr>
                <w:tcW w:w="9350" w:type="dxa"/>
              </w:tcPr>
              <w:p w:rsidR="00BE1102" w:rsidRDefault="00BE1102" w:rsidP="009B3B67">
                <w:pPr>
                  <w:rPr>
                    <w:rStyle w:val="PlaceholderText"/>
                    <w:b w:val="0"/>
                    <w:lang w:val="en-AU"/>
                  </w:rPr>
                </w:pPr>
                <w:r>
                  <w:rPr>
                    <w:rStyle w:val="PlaceholderText"/>
                    <w:b w:val="0"/>
                    <w:lang w:val="en-AU"/>
                  </w:rPr>
                  <w:t>Thoroughly complete the following table outlining the risks to your project, their probability, impact and your mitigation strategy for each risk. Possible categories of risk that you should consider include technical, external, organisational and project management.</w:t>
                </w:r>
              </w:p>
              <w:p w:rsidR="00BE1102" w:rsidRDefault="00BE1102" w:rsidP="009B3B67">
                <w:pPr>
                  <w:rPr>
                    <w:rStyle w:val="PlaceholderText"/>
                    <w:b w:val="0"/>
                    <w:lang w:val="en-AU"/>
                  </w:rPr>
                </w:pPr>
                <w:r>
                  <w:rPr>
                    <w:rStyle w:val="PlaceholderText"/>
                    <w:b w:val="0"/>
                    <w:lang w:val="en-AU"/>
                  </w:rPr>
                  <w:t>Ensure that you consider a broad range of risk aspects including personnel, technical and organisation/situation specific risks.</w:t>
                </w:r>
              </w:p>
              <w:p w:rsidR="00BE1102" w:rsidRDefault="00BE1102" w:rsidP="009B3B67">
                <w:pPr>
                  <w:rPr>
                    <w:rStyle w:val="PlaceholderText"/>
                    <w:b w:val="0"/>
                    <w:lang w:val="en-AU"/>
                  </w:rPr>
                </w:pPr>
                <w:r>
                  <w:rPr>
                    <w:rStyle w:val="PlaceholderText"/>
                    <w:b w:val="0"/>
                    <w:lang w:val="en-AU"/>
                  </w:rPr>
                  <w:t>You should also include a brief discussion above the table, discussing any key risk factors specific to your project.</w:t>
                </w:r>
              </w:p>
              <w:p w:rsidR="00BE1102" w:rsidRPr="008E7442" w:rsidRDefault="00BE1102" w:rsidP="009B3B67">
                <w:pPr>
                  <w:rPr>
                    <w:rStyle w:val="PlaceholderText"/>
                    <w:lang w:val="en-AU"/>
                  </w:rPr>
                </w:pPr>
                <w:r>
                  <w:rPr>
                    <w:rStyle w:val="PlaceholderText"/>
                    <w:lang w:val="en-AU"/>
                  </w:rPr>
                  <w:t>Ensure that you delete the example risk from the below table before submission.</w:t>
                </w:r>
              </w:p>
            </w:tc>
          </w:tr>
        </w:tbl>
        <w:p w:rsidR="007F20F3" w:rsidRDefault="00BE1102" w:rsidP="00BE1102">
          <w:pPr>
            <w:pStyle w:val="926140469FCB4EB093DE7EB6695B7CB12"/>
          </w:pPr>
          <w:r w:rsidRPr="002D286D">
            <w:rPr>
              <w:rStyle w:val="PlaceholderText"/>
              <w:sz w:val="16"/>
              <w:lang w:val="en-AU"/>
            </w:rPr>
            <w:t xml:space="preserve"> </w:t>
          </w:r>
        </w:p>
      </w:docPartBody>
    </w:docPart>
    <w:docPart>
      <w:docPartPr>
        <w:name w:val="E6BA1CD594674BF7852AE6F3756390C5"/>
        <w:category>
          <w:name w:val="General"/>
          <w:gallery w:val="placeholder"/>
        </w:category>
        <w:types>
          <w:type w:val="bbPlcHdr"/>
        </w:types>
        <w:behaviors>
          <w:behavior w:val="content"/>
        </w:behaviors>
        <w:guid w:val="{AD27AF11-0E35-4EB9-A032-FC4DA1ADD014}"/>
      </w:docPartPr>
      <w:docPartBody>
        <w:p w:rsidR="00BE1102" w:rsidRPr="002D286D" w:rsidRDefault="00BE1102" w:rsidP="009B3B67">
          <w:pPr>
            <w:rPr>
              <w:rStyle w:val="PlaceholderText"/>
              <w:sz w:val="2"/>
            </w:rPr>
          </w:pPr>
        </w:p>
        <w:tbl>
          <w:tblPr>
            <w:tblStyle w:val="ProjectScopeTable"/>
            <w:tblW w:w="0" w:type="auto"/>
            <w:tblLook w:val="04A0" w:firstRow="1" w:lastRow="0" w:firstColumn="1" w:lastColumn="0" w:noHBand="0" w:noVBand="1"/>
          </w:tblPr>
          <w:tblGrid>
            <w:gridCol w:w="9016"/>
          </w:tblGrid>
          <w:tr w:rsidR="00BE1102" w:rsidRPr="002D286D" w:rsidTr="009B3B67">
            <w:trPr>
              <w:cnfStyle w:val="100000000000" w:firstRow="1" w:lastRow="0" w:firstColumn="0" w:lastColumn="0" w:oddVBand="0" w:evenVBand="0" w:oddHBand="0" w:evenHBand="0" w:firstRowFirstColumn="0" w:firstRowLastColumn="0" w:lastRowFirstColumn="0" w:lastRowLastColumn="0"/>
            </w:trPr>
            <w:tc>
              <w:tcPr>
                <w:tcW w:w="9350" w:type="dxa"/>
              </w:tcPr>
              <w:p w:rsidR="00BE1102" w:rsidRPr="008E7442" w:rsidRDefault="00BE1102" w:rsidP="008E7442">
                <w:pPr>
                  <w:rPr>
                    <w:rStyle w:val="PlaceholderText"/>
                    <w:b w:val="0"/>
                    <w:lang w:val="en-AU"/>
                  </w:rPr>
                </w:pPr>
                <w:r>
                  <w:rPr>
                    <w:rStyle w:val="PlaceholderText"/>
                    <w:b w:val="0"/>
                    <w:lang w:val="en-AU"/>
                  </w:rPr>
                  <w:t xml:space="preserve">Thoroughly complete the following table outlining the potential costs associated with your project. Students are also encouraged to include </w:t>
                </w:r>
                <w:r w:rsidRPr="008E7442">
                  <w:rPr>
                    <w:rStyle w:val="PlaceholderText"/>
                    <w:b w:val="0"/>
                    <w:lang w:val="en-AU"/>
                  </w:rPr>
                  <w:t xml:space="preserve">realistic </w:t>
                </w:r>
                <w:r>
                  <w:rPr>
                    <w:rStyle w:val="PlaceholderText"/>
                    <w:b w:val="0"/>
                    <w:lang w:val="en-AU"/>
                  </w:rPr>
                  <w:t xml:space="preserve">estimates for their </w:t>
                </w:r>
                <w:r w:rsidRPr="008E7442">
                  <w:rPr>
                    <w:rStyle w:val="PlaceholderText"/>
                    <w:b w:val="0"/>
                    <w:lang w:val="en-AU"/>
                  </w:rPr>
                  <w:t xml:space="preserve">time. However, any actual costs associated with </w:t>
                </w:r>
                <w:r>
                  <w:rPr>
                    <w:rStyle w:val="PlaceholderText"/>
                    <w:b w:val="0"/>
                    <w:lang w:val="en-AU"/>
                  </w:rPr>
                  <w:t xml:space="preserve">undertaking </w:t>
                </w:r>
                <w:r w:rsidRPr="008E7442">
                  <w:rPr>
                    <w:rStyle w:val="PlaceholderText"/>
                    <w:b w:val="0"/>
                    <w:lang w:val="en-AU"/>
                  </w:rPr>
                  <w:t xml:space="preserve">the project must be clearly delineated from the hypothetical </w:t>
                </w:r>
                <w:r>
                  <w:rPr>
                    <w:rStyle w:val="PlaceholderText"/>
                    <w:b w:val="0"/>
                    <w:lang w:val="en-AU"/>
                  </w:rPr>
                  <w:t xml:space="preserve">budget items. </w:t>
                </w:r>
                <w:r w:rsidRPr="00421FB1">
                  <w:rPr>
                    <w:rStyle w:val="PlaceholderText"/>
                    <w:bCs/>
                    <w:lang w:val="en-AU"/>
                  </w:rPr>
                  <w:t xml:space="preserve">N.B. Costs associated with future implementation of project outcomes </w:t>
                </w:r>
                <w:r>
                  <w:rPr>
                    <w:rStyle w:val="PlaceholderText"/>
                    <w:bCs/>
                    <w:lang w:val="en-AU"/>
                  </w:rPr>
                  <w:t>should</w:t>
                </w:r>
                <w:r w:rsidRPr="00421FB1">
                  <w:rPr>
                    <w:rStyle w:val="PlaceholderText"/>
                    <w:bCs/>
                    <w:lang w:val="en-AU"/>
                  </w:rPr>
                  <w:t xml:space="preserve"> be included with your final deliverables, if this is within scope</w:t>
                </w:r>
                <w:r>
                  <w:rPr>
                    <w:rStyle w:val="PlaceholderText"/>
                    <w:bCs/>
                    <w:lang w:val="en-AU"/>
                  </w:rPr>
                  <w:t>, not within this section</w:t>
                </w:r>
                <w:r w:rsidRPr="00421FB1">
                  <w:rPr>
                    <w:rStyle w:val="PlaceholderText"/>
                    <w:bCs/>
                    <w:lang w:val="en-AU"/>
                  </w:rPr>
                  <w:t>.</w:t>
                </w:r>
              </w:p>
            </w:tc>
          </w:tr>
        </w:tbl>
        <w:p w:rsidR="007F20F3" w:rsidRDefault="00BE1102" w:rsidP="00BE1102">
          <w:pPr>
            <w:pStyle w:val="E6BA1CD594674BF7852AE6F3756390C52"/>
          </w:pPr>
          <w:r w:rsidRPr="002D286D">
            <w:rPr>
              <w:rStyle w:val="PlaceholderText"/>
              <w:sz w:val="16"/>
              <w:lang w:val="en-AU"/>
            </w:rPr>
            <w:t xml:space="preserve"> </w:t>
          </w:r>
        </w:p>
      </w:docPartBody>
    </w:docPart>
    <w:docPart>
      <w:docPartPr>
        <w:name w:val="F858E0E28F334904B3CF08CD67977FC2"/>
        <w:category>
          <w:name w:val="General"/>
          <w:gallery w:val="placeholder"/>
        </w:category>
        <w:types>
          <w:type w:val="bbPlcHdr"/>
        </w:types>
        <w:behaviors>
          <w:behavior w:val="content"/>
        </w:behaviors>
        <w:guid w:val="{D2A65202-26F5-46CF-927E-F51E9594DEA9}"/>
      </w:docPartPr>
      <w:docPartBody>
        <w:p w:rsidR="00BE1102" w:rsidRPr="002D286D" w:rsidRDefault="00BE1102" w:rsidP="00A62383">
          <w:pPr>
            <w:rPr>
              <w:rStyle w:val="PlaceholderText"/>
              <w:sz w:val="2"/>
            </w:rPr>
          </w:pPr>
        </w:p>
        <w:tbl>
          <w:tblPr>
            <w:tblStyle w:val="ProjectScopeTable"/>
            <w:tblW w:w="0" w:type="auto"/>
            <w:tblLook w:val="04A0" w:firstRow="1" w:lastRow="0" w:firstColumn="1" w:lastColumn="0" w:noHBand="0" w:noVBand="1"/>
          </w:tblPr>
          <w:tblGrid>
            <w:gridCol w:w="9016"/>
          </w:tblGrid>
          <w:tr w:rsidR="00BE1102" w:rsidRPr="002D286D" w:rsidTr="00A62383">
            <w:trPr>
              <w:cnfStyle w:val="100000000000" w:firstRow="1" w:lastRow="0" w:firstColumn="0" w:lastColumn="0" w:oddVBand="0" w:evenVBand="0" w:oddHBand="0" w:evenHBand="0" w:firstRowFirstColumn="0" w:firstRowLastColumn="0" w:lastRowFirstColumn="0" w:lastRowLastColumn="0"/>
            </w:trPr>
            <w:tc>
              <w:tcPr>
                <w:tcW w:w="9350" w:type="dxa"/>
              </w:tcPr>
              <w:p w:rsidR="00BE1102" w:rsidRDefault="00BE1102" w:rsidP="00A62383">
                <w:pPr>
                  <w:rPr>
                    <w:rStyle w:val="PlaceholderText"/>
                    <w:b w:val="0"/>
                    <w:lang w:val="en-AU"/>
                  </w:rPr>
                </w:pPr>
                <w:r>
                  <w:rPr>
                    <w:rStyle w:val="PlaceholderText"/>
                    <w:b w:val="0"/>
                    <w:lang w:val="en-AU"/>
                  </w:rPr>
                  <w:t>This section should clearly and concisely list the specific items that will be physically and/or electronically delivered to the client at the end of the project. It should also outline the</w:t>
                </w:r>
                <w:r w:rsidRPr="00130BC0">
                  <w:rPr>
                    <w:rStyle w:val="PlaceholderText"/>
                    <w:b w:val="0"/>
                    <w:lang w:val="en-AU"/>
                  </w:rPr>
                  <w:t xml:space="preserve"> key project evaluation criteria for </w:t>
                </w:r>
                <w:r>
                  <w:rPr>
                    <w:rStyle w:val="PlaceholderText"/>
                    <w:b w:val="0"/>
                    <w:lang w:val="en-AU"/>
                  </w:rPr>
                  <w:t xml:space="preserve">the project, from the client’s perspective, particularly in relation to the functionality and quality of the deliverables. Project evaluation criteria refer to criteria that can be used to measure the </w:t>
                </w:r>
                <w:r w:rsidRPr="00130BC0">
                  <w:rPr>
                    <w:rStyle w:val="PlaceholderText"/>
                    <w:b w:val="0"/>
                    <w:bCs/>
                    <w:lang w:val="en-AU"/>
                  </w:rPr>
                  <w:t xml:space="preserve">level of </w:t>
                </w:r>
                <w:r>
                  <w:rPr>
                    <w:rStyle w:val="PlaceholderText"/>
                    <w:b w:val="0"/>
                    <w:lang w:val="en-AU"/>
                  </w:rPr>
                  <w:t xml:space="preserve">success the project </w:t>
                </w:r>
                <w:r w:rsidRPr="00130BC0">
                  <w:rPr>
                    <w:rStyle w:val="PlaceholderText"/>
                    <w:b w:val="0"/>
                    <w:bCs/>
                    <w:lang w:val="en-AU"/>
                  </w:rPr>
                  <w:t xml:space="preserve">achieved (from the </w:t>
                </w:r>
                <w:r w:rsidRPr="00E7289C">
                  <w:rPr>
                    <w:rStyle w:val="PlaceholderText"/>
                    <w:lang w:val="en-AU"/>
                  </w:rPr>
                  <w:t>client’s</w:t>
                </w:r>
                <w:r w:rsidRPr="00130BC0">
                  <w:rPr>
                    <w:rStyle w:val="PlaceholderText"/>
                    <w:b w:val="0"/>
                    <w:bCs/>
                    <w:lang w:val="en-AU"/>
                  </w:rPr>
                  <w:t xml:space="preserve"> perspective</w:t>
                </w:r>
                <w:r>
                  <w:rPr>
                    <w:rStyle w:val="PlaceholderText"/>
                    <w:b w:val="0"/>
                    <w:bCs/>
                    <w:lang w:val="en-AU"/>
                  </w:rPr>
                  <w:t xml:space="preserve"> </w:t>
                </w:r>
                <w:r>
                  <w:rPr>
                    <w:rStyle w:val="PlaceholderText"/>
                    <w:bCs/>
                    <w:lang w:val="en-AU"/>
                  </w:rPr>
                  <w:t xml:space="preserve">– </w:t>
                </w:r>
                <w:r w:rsidRPr="00E7289C">
                  <w:rPr>
                    <w:rStyle w:val="PlaceholderText"/>
                    <w:b w:val="0"/>
                    <w:lang w:val="en-AU"/>
                  </w:rPr>
                  <w:t>university assessment criteria are published on the course website</w:t>
                </w:r>
                <w:r w:rsidRPr="00130BC0">
                  <w:rPr>
                    <w:rStyle w:val="PlaceholderText"/>
                    <w:b w:val="0"/>
                    <w:bCs/>
                    <w:lang w:val="en-AU"/>
                  </w:rPr>
                  <w:t>).</w:t>
                </w:r>
              </w:p>
              <w:p w:rsidR="00BE1102" w:rsidRPr="002D286D" w:rsidRDefault="00BE1102" w:rsidP="00A62383">
                <w:pPr>
                  <w:rPr>
                    <w:rStyle w:val="PlaceholderText"/>
                    <w:b w:val="0"/>
                    <w:lang w:val="en-AU"/>
                  </w:rPr>
                </w:pPr>
                <w:r w:rsidRPr="00314192">
                  <w:rPr>
                    <w:rStyle w:val="PlaceholderText"/>
                    <w:lang w:val="en-AU"/>
                  </w:rPr>
                  <w:t>It is important that this section is clearly agreed upon and understood by all parties.</w:t>
                </w:r>
                <w:r>
                  <w:rPr>
                    <w:rStyle w:val="PlaceholderText"/>
                    <w:b w:val="0"/>
                    <w:lang w:val="en-AU"/>
                  </w:rPr>
                  <w:t xml:space="preserve"> It will be central in determining the completeness and appropriateness of your final deliverables. </w:t>
                </w:r>
              </w:p>
            </w:tc>
          </w:tr>
        </w:tbl>
        <w:p w:rsidR="00131063" w:rsidRDefault="00BE1102" w:rsidP="00BE1102">
          <w:pPr>
            <w:pStyle w:val="F858E0E28F334904B3CF08CD67977FC22"/>
          </w:pPr>
          <w:r w:rsidRPr="002D286D">
            <w:rPr>
              <w:rStyle w:val="PlaceholderText"/>
              <w:sz w:val="16"/>
              <w:lang w:val="en-AU"/>
            </w:rPr>
            <w:t xml:space="preserve"> </w:t>
          </w:r>
        </w:p>
      </w:docPartBody>
    </w:docPart>
    <w:docPart>
      <w:docPartPr>
        <w:name w:val="0BB6231D5DAB44C1BB8C91C8F5FB0B71"/>
        <w:category>
          <w:name w:val="General"/>
          <w:gallery w:val="placeholder"/>
        </w:category>
        <w:types>
          <w:type w:val="bbPlcHdr"/>
        </w:types>
        <w:behaviors>
          <w:behavior w:val="content"/>
        </w:behaviors>
        <w:guid w:val="{892BC078-C1D7-4755-A79E-3B985EDE6F7D}"/>
      </w:docPartPr>
      <w:docPartBody>
        <w:p w:rsidR="00BE1102" w:rsidRPr="002D286D" w:rsidRDefault="00BE1102" w:rsidP="00A62383">
          <w:pPr>
            <w:rPr>
              <w:rStyle w:val="PlaceholderText"/>
              <w:sz w:val="2"/>
            </w:rPr>
          </w:pPr>
        </w:p>
        <w:tbl>
          <w:tblPr>
            <w:tblStyle w:val="ProjectScopeTable"/>
            <w:tblW w:w="0" w:type="auto"/>
            <w:tblLook w:val="04A0" w:firstRow="1" w:lastRow="0" w:firstColumn="1" w:lastColumn="0" w:noHBand="0" w:noVBand="1"/>
          </w:tblPr>
          <w:tblGrid>
            <w:gridCol w:w="9016"/>
          </w:tblGrid>
          <w:tr w:rsidR="00BE1102" w:rsidRPr="002D286D" w:rsidTr="00A62383">
            <w:trPr>
              <w:cnfStyle w:val="100000000000" w:firstRow="1" w:lastRow="0" w:firstColumn="0" w:lastColumn="0" w:oddVBand="0" w:evenVBand="0" w:oddHBand="0" w:evenHBand="0" w:firstRowFirstColumn="0" w:firstRowLastColumn="0" w:lastRowFirstColumn="0" w:lastRowLastColumn="0"/>
            </w:trPr>
            <w:tc>
              <w:tcPr>
                <w:tcW w:w="9350" w:type="dxa"/>
              </w:tcPr>
              <w:p w:rsidR="00BE1102" w:rsidRPr="002D286D" w:rsidRDefault="00BE1102" w:rsidP="00A62383">
                <w:pPr>
                  <w:rPr>
                    <w:rStyle w:val="PlaceholderText"/>
                    <w:b w:val="0"/>
                    <w:lang w:val="en-AU"/>
                  </w:rPr>
                </w:pPr>
                <w:r>
                  <w:rPr>
                    <w:rStyle w:val="PlaceholderText"/>
                    <w:b w:val="0"/>
                    <w:lang w:val="en-AU"/>
                  </w:rPr>
                  <w:t>The table below should outline all relevant stakeholders and describe their interest in the project. These stakeholders may include management, end users, vendors, etc. The interest column should reflect the stakeholders’ concerns or investment in the project.</w:t>
                </w:r>
              </w:p>
            </w:tc>
          </w:tr>
        </w:tbl>
        <w:p w:rsidR="00131063" w:rsidRDefault="00BE1102" w:rsidP="00BE1102">
          <w:pPr>
            <w:pStyle w:val="0BB6231D5DAB44C1BB8C91C8F5FB0B712"/>
          </w:pPr>
          <w:r w:rsidRPr="002D286D">
            <w:rPr>
              <w:rStyle w:val="PlaceholderText"/>
              <w:sz w:val="16"/>
              <w:lang w:val="en-AU"/>
            </w:rPr>
            <w:t xml:space="preserve"> </w:t>
          </w:r>
        </w:p>
      </w:docPartBody>
    </w:docPart>
    <w:docPart>
      <w:docPartPr>
        <w:name w:val="B27C3D6852E94D9FA6B9401A7D3C3C85"/>
        <w:category>
          <w:name w:val="General"/>
          <w:gallery w:val="placeholder"/>
        </w:category>
        <w:types>
          <w:type w:val="bbPlcHdr"/>
        </w:types>
        <w:behaviors>
          <w:behavior w:val="content"/>
        </w:behaviors>
        <w:guid w:val="{A24BF5B3-D9A2-4539-AB40-28B0502571A7}"/>
      </w:docPartPr>
      <w:docPartBody>
        <w:p w:rsidR="00BE1102" w:rsidRPr="002D286D" w:rsidRDefault="00BE1102" w:rsidP="003343BD">
          <w:pPr>
            <w:rPr>
              <w:rStyle w:val="PlaceholderText"/>
              <w:sz w:val="2"/>
            </w:rPr>
          </w:pPr>
        </w:p>
        <w:tbl>
          <w:tblPr>
            <w:tblStyle w:val="ProjectScopeTable"/>
            <w:tblW w:w="0" w:type="auto"/>
            <w:tblLook w:val="04A0" w:firstRow="1" w:lastRow="0" w:firstColumn="1" w:lastColumn="0" w:noHBand="0" w:noVBand="1"/>
          </w:tblPr>
          <w:tblGrid>
            <w:gridCol w:w="9016"/>
          </w:tblGrid>
          <w:tr w:rsidR="00BE1102" w:rsidRPr="002D286D" w:rsidTr="00950C30">
            <w:trPr>
              <w:cnfStyle w:val="100000000000" w:firstRow="1" w:lastRow="0" w:firstColumn="0" w:lastColumn="0" w:oddVBand="0" w:evenVBand="0" w:oddHBand="0" w:evenHBand="0" w:firstRowFirstColumn="0" w:firstRowLastColumn="0" w:lastRowFirstColumn="0" w:lastRowLastColumn="0"/>
            </w:trPr>
            <w:tc>
              <w:tcPr>
                <w:tcW w:w="9350" w:type="dxa"/>
              </w:tcPr>
              <w:p w:rsidR="00BE1102" w:rsidRPr="002D286D" w:rsidRDefault="00BE1102" w:rsidP="003343BD">
                <w:pPr>
                  <w:rPr>
                    <w:rStyle w:val="PlaceholderText"/>
                    <w:b w:val="0"/>
                    <w:lang w:val="en-AU"/>
                  </w:rPr>
                </w:pPr>
                <w:r>
                  <w:rPr>
                    <w:rStyle w:val="PlaceholderText"/>
                    <w:b w:val="0"/>
                    <w:lang w:val="en-AU"/>
                  </w:rPr>
                  <w:t>This section should specify the methodology (detailed steps) you will undertake in order to complete this project. Each step should relate to a particular milestone. The steps, and associated milestones, specified here should also appear in the project schedule and help the reader to understand how you will achieve the project objectives.</w:t>
                </w:r>
              </w:p>
            </w:tc>
          </w:tr>
        </w:tbl>
        <w:p w:rsidR="00CB7010" w:rsidRDefault="00BE1102" w:rsidP="00BE1102">
          <w:pPr>
            <w:pStyle w:val="B27C3D6852E94D9FA6B9401A7D3C3C852"/>
          </w:pPr>
          <w:r w:rsidRPr="002D286D">
            <w:rPr>
              <w:rStyle w:val="PlaceholderText"/>
              <w:sz w:val="16"/>
              <w:lang w:val="en-AU"/>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605953"/>
    <w:multiLevelType w:val="hybridMultilevel"/>
    <w:tmpl w:val="393633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57E5D71"/>
    <w:multiLevelType w:val="hybridMultilevel"/>
    <w:tmpl w:val="BFBE56B6"/>
    <w:lvl w:ilvl="0" w:tplc="DF622CE6">
      <w:start w:val="1"/>
      <w:numFmt w:val="bullet"/>
      <w:pStyle w:val="ListBullet"/>
      <w:lvlText w:val=""/>
      <w:lvlJc w:val="left"/>
      <w:pPr>
        <w:tabs>
          <w:tab w:val="num" w:pos="360"/>
        </w:tabs>
        <w:ind w:left="432" w:hanging="288"/>
      </w:pPr>
      <w:rPr>
        <w:rFonts w:ascii="Symbol" w:hAnsi="Symbol" w:hint="default"/>
        <w:color w:val="156082"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4477745">
    <w:abstractNumId w:val="1"/>
  </w:num>
  <w:num w:numId="2" w16cid:durableId="1265191527">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EBD"/>
    <w:rsid w:val="00014A21"/>
    <w:rsid w:val="00046859"/>
    <w:rsid w:val="00107DB9"/>
    <w:rsid w:val="00131063"/>
    <w:rsid w:val="00134992"/>
    <w:rsid w:val="001D0EBD"/>
    <w:rsid w:val="001D7C44"/>
    <w:rsid w:val="0037401E"/>
    <w:rsid w:val="003A23CB"/>
    <w:rsid w:val="004A35C2"/>
    <w:rsid w:val="00551980"/>
    <w:rsid w:val="00612354"/>
    <w:rsid w:val="00635F37"/>
    <w:rsid w:val="00722E79"/>
    <w:rsid w:val="007F20F3"/>
    <w:rsid w:val="00800D5C"/>
    <w:rsid w:val="008B450F"/>
    <w:rsid w:val="008B7051"/>
    <w:rsid w:val="009D7CA2"/>
    <w:rsid w:val="00AB0EDB"/>
    <w:rsid w:val="00BE1102"/>
    <w:rsid w:val="00C218A1"/>
    <w:rsid w:val="00CB7010"/>
    <w:rsid w:val="00CC1E7C"/>
    <w:rsid w:val="00D05CD6"/>
    <w:rsid w:val="00E06BB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2"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102"/>
    <w:pPr>
      <w:keepNext/>
      <w:keepLines/>
      <w:spacing w:before="600" w:after="240" w:line="240" w:lineRule="auto"/>
      <w:outlineLvl w:val="0"/>
    </w:pPr>
    <w:rPr>
      <w:rFonts w:eastAsiaTheme="minorHAnsi"/>
      <w:b/>
      <w:bCs/>
      <w:caps/>
      <w:color w:val="0A2F41" w:themeColor="accent1" w:themeShade="80"/>
      <w:sz w:val="28"/>
      <w:szCs w:val="20"/>
      <w:lang w:val="en-US" w:eastAsia="ja-JP"/>
    </w:rPr>
  </w:style>
  <w:style w:type="paragraph" w:styleId="Heading4">
    <w:name w:val="heading 4"/>
    <w:basedOn w:val="Normal"/>
    <w:next w:val="Normal"/>
    <w:link w:val="Heading4Char"/>
    <w:uiPriority w:val="9"/>
    <w:unhideWhenUsed/>
    <w:qFormat/>
    <w:rsid w:val="00BE1102"/>
    <w:pPr>
      <w:keepNext/>
      <w:keepLines/>
      <w:spacing w:before="40" w:after="0" w:line="288" w:lineRule="auto"/>
      <w:outlineLvl w:val="3"/>
    </w:pPr>
    <w:rPr>
      <w:rFonts w:asciiTheme="majorHAnsi" w:eastAsiaTheme="majorEastAsia" w:hAnsiTheme="majorHAnsi" w:cstheme="majorBidi"/>
      <w:i/>
      <w:iCs/>
      <w:color w:val="0F4761" w:themeColor="accent1" w:themeShade="BF"/>
      <w:sz w:val="20"/>
      <w:szCs w:val="20"/>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1E531D692B8464EBA950DC651707AC7">
    <w:name w:val="C1E531D692B8464EBA950DC651707AC7"/>
    <w:rsid w:val="0037401E"/>
    <w:pPr>
      <w:pBdr>
        <w:left w:val="double" w:sz="18" w:space="4" w:color="0A2F41" w:themeColor="accent1" w:themeShade="80"/>
      </w:pBdr>
      <w:spacing w:after="0" w:line="420" w:lineRule="exact"/>
    </w:pPr>
    <w:rPr>
      <w:rFonts w:asciiTheme="majorHAnsi" w:eastAsiaTheme="majorEastAsia" w:hAnsiTheme="majorHAnsi" w:cstheme="majorBidi"/>
      <w:caps/>
      <w:color w:val="0A2F41" w:themeColor="accent1" w:themeShade="80"/>
      <w:kern w:val="28"/>
      <w:sz w:val="38"/>
      <w:szCs w:val="20"/>
      <w:lang w:val="en-US" w:eastAsia="ja-JP"/>
    </w:rPr>
  </w:style>
  <w:style w:type="paragraph" w:customStyle="1" w:styleId="4D90955BA4694F94801EE434DBF2BD5D">
    <w:name w:val="4D90955BA4694F94801EE434DBF2BD5D"/>
    <w:rsid w:val="0037401E"/>
    <w:pPr>
      <w:numPr>
        <w:ilvl w:val="1"/>
      </w:numPr>
      <w:pBdr>
        <w:left w:val="double" w:sz="18" w:space="4" w:color="0A2F41" w:themeColor="accent1" w:themeShade="80"/>
      </w:pBdr>
      <w:spacing w:before="80" w:after="0" w:line="280" w:lineRule="exact"/>
    </w:pPr>
    <w:rPr>
      <w:rFonts w:eastAsiaTheme="minorHAnsi"/>
      <w:b/>
      <w:bCs/>
      <w:color w:val="156082" w:themeColor="accent1"/>
      <w:sz w:val="24"/>
      <w:szCs w:val="20"/>
      <w:lang w:val="en-US" w:eastAsia="ja-JP"/>
    </w:rPr>
  </w:style>
  <w:style w:type="character" w:styleId="PlaceholderText">
    <w:name w:val="Placeholder Text"/>
    <w:basedOn w:val="DefaultParagraphFont"/>
    <w:uiPriority w:val="99"/>
    <w:semiHidden/>
    <w:rsid w:val="008B450F"/>
    <w:rPr>
      <w:color w:val="808080"/>
    </w:rPr>
  </w:style>
  <w:style w:type="paragraph" w:customStyle="1" w:styleId="878C14744D8446A985FD9C36345431DF">
    <w:name w:val="878C14744D8446A985FD9C36345431DF"/>
    <w:rsid w:val="0037401E"/>
    <w:pPr>
      <w:numPr>
        <w:ilvl w:val="1"/>
      </w:numPr>
      <w:pBdr>
        <w:left w:val="double" w:sz="18" w:space="4" w:color="0A2F41" w:themeColor="accent1" w:themeShade="80"/>
      </w:pBdr>
      <w:spacing w:before="80" w:after="0" w:line="280" w:lineRule="exact"/>
    </w:pPr>
    <w:rPr>
      <w:rFonts w:eastAsiaTheme="minorHAnsi"/>
      <w:b/>
      <w:bCs/>
      <w:color w:val="156082" w:themeColor="accent1"/>
      <w:sz w:val="24"/>
      <w:szCs w:val="20"/>
      <w:lang w:val="en-US" w:eastAsia="ja-JP"/>
    </w:rPr>
  </w:style>
  <w:style w:type="table" w:customStyle="1" w:styleId="ProjectScopeTable">
    <w:name w:val="Project Scope Table"/>
    <w:basedOn w:val="TableNormal"/>
    <w:uiPriority w:val="99"/>
    <w:rsid w:val="008B450F"/>
    <w:pPr>
      <w:spacing w:before="120" w:after="120" w:line="240" w:lineRule="auto"/>
    </w:pPr>
    <w:rPr>
      <w:rFonts w:eastAsiaTheme="minorHAnsi"/>
      <w:color w:val="404040" w:themeColor="text1" w:themeTint="BF"/>
      <w:sz w:val="18"/>
      <w:szCs w:val="20"/>
      <w:lang w:val="en-US" w:eastAsia="ja-JP"/>
    </w:rPr>
    <w:tblPr>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CellMar>
        <w:left w:w="144" w:type="dxa"/>
        <w:right w:w="144" w:type="dxa"/>
      </w:tblCellMar>
    </w:tblPr>
    <w:tblStylePr w:type="firstRow">
      <w:pPr>
        <w:keepNext/>
        <w:wordWrap/>
      </w:pPr>
      <w:rPr>
        <w:b/>
      </w:rPr>
      <w:tblPr/>
      <w:tcPr>
        <w:shd w:val="clear" w:color="auto" w:fill="C1E4F5" w:themeFill="accent1" w:themeFillTint="33"/>
        <w:vAlign w:val="bottom"/>
      </w:tcPr>
    </w:tblStylePr>
    <w:tblStylePr w:type="lastRow">
      <w:rPr>
        <w:b/>
        <w:color w:val="FFFFFF" w:themeColor="background1"/>
      </w:rPr>
      <w:tblPr/>
      <w:tcPr>
        <w:shd w:val="clear" w:color="auto" w:fill="156082" w:themeFill="accent1"/>
      </w:tcPr>
    </w:tblStylePr>
  </w:style>
  <w:style w:type="paragraph" w:customStyle="1" w:styleId="1913178EBB6244FB91C5F77DA5ACBBF1">
    <w:name w:val="1913178EBB6244FB91C5F77DA5ACBBF1"/>
    <w:rsid w:val="0037401E"/>
    <w:pPr>
      <w:spacing w:after="180" w:line="288" w:lineRule="auto"/>
    </w:pPr>
    <w:rPr>
      <w:rFonts w:eastAsiaTheme="minorHAnsi"/>
      <w:color w:val="404040" w:themeColor="text1" w:themeTint="BF"/>
      <w:sz w:val="20"/>
      <w:szCs w:val="20"/>
      <w:lang w:val="en-US" w:eastAsia="ja-JP"/>
    </w:rPr>
  </w:style>
  <w:style w:type="character" w:customStyle="1" w:styleId="Heading1Char">
    <w:name w:val="Heading 1 Char"/>
    <w:basedOn w:val="DefaultParagraphFont"/>
    <w:link w:val="Heading1"/>
    <w:uiPriority w:val="9"/>
    <w:rsid w:val="00BE1102"/>
    <w:rPr>
      <w:rFonts w:eastAsiaTheme="minorHAnsi"/>
      <w:b/>
      <w:bCs/>
      <w:caps/>
      <w:color w:val="0A2F41" w:themeColor="accent1" w:themeShade="80"/>
      <w:sz w:val="28"/>
      <w:szCs w:val="20"/>
      <w:lang w:val="en-US" w:eastAsia="ja-JP"/>
    </w:rPr>
  </w:style>
  <w:style w:type="paragraph" w:customStyle="1" w:styleId="21DC3AF8AA2B448399B3CA691F8F3F42">
    <w:name w:val="21DC3AF8AA2B448399B3CA691F8F3F42"/>
    <w:rsid w:val="0037401E"/>
    <w:pPr>
      <w:spacing w:after="180" w:line="288" w:lineRule="auto"/>
    </w:pPr>
    <w:rPr>
      <w:rFonts w:eastAsiaTheme="minorHAnsi"/>
      <w:color w:val="404040" w:themeColor="text1" w:themeTint="BF"/>
      <w:sz w:val="20"/>
      <w:szCs w:val="20"/>
      <w:lang w:val="en-US" w:eastAsia="ja-JP"/>
    </w:rPr>
  </w:style>
  <w:style w:type="paragraph" w:customStyle="1" w:styleId="05FB5A7B12874EDDA602FB3D26B7D1BE">
    <w:name w:val="05FB5A7B12874EDDA602FB3D26B7D1BE"/>
    <w:rsid w:val="0037401E"/>
    <w:pPr>
      <w:spacing w:after="180" w:line="288" w:lineRule="auto"/>
    </w:pPr>
    <w:rPr>
      <w:rFonts w:eastAsiaTheme="minorHAnsi"/>
      <w:color w:val="404040" w:themeColor="text1" w:themeTint="BF"/>
      <w:sz w:val="20"/>
      <w:szCs w:val="20"/>
      <w:lang w:val="en-US" w:eastAsia="ja-JP"/>
    </w:rPr>
  </w:style>
  <w:style w:type="paragraph" w:customStyle="1" w:styleId="7D8B63CE996F49CBAD65BE5F8B9DFBB2">
    <w:name w:val="7D8B63CE996F49CBAD65BE5F8B9DFBB2"/>
    <w:rsid w:val="0037401E"/>
    <w:pPr>
      <w:spacing w:after="180" w:line="288" w:lineRule="auto"/>
    </w:pPr>
    <w:rPr>
      <w:rFonts w:eastAsiaTheme="minorHAnsi"/>
      <w:color w:val="404040" w:themeColor="text1" w:themeTint="BF"/>
      <w:sz w:val="20"/>
      <w:szCs w:val="20"/>
      <w:lang w:val="en-US" w:eastAsia="ja-JP"/>
    </w:rPr>
  </w:style>
  <w:style w:type="paragraph" w:styleId="NoSpacing">
    <w:name w:val="No Spacing"/>
    <w:uiPriority w:val="36"/>
    <w:qFormat/>
    <w:rsid w:val="00BE1102"/>
    <w:pPr>
      <w:spacing w:after="0" w:line="240" w:lineRule="auto"/>
    </w:pPr>
    <w:rPr>
      <w:rFonts w:eastAsiaTheme="minorHAnsi"/>
      <w:color w:val="404040" w:themeColor="text1" w:themeTint="BF"/>
      <w:sz w:val="18"/>
      <w:szCs w:val="20"/>
      <w:lang w:val="en-US" w:eastAsia="ja-JP"/>
    </w:rPr>
  </w:style>
  <w:style w:type="paragraph" w:customStyle="1" w:styleId="926140469FCB4EB093DE7EB6695B7CB1">
    <w:name w:val="926140469FCB4EB093DE7EB6695B7CB1"/>
    <w:rsid w:val="0037401E"/>
    <w:pPr>
      <w:spacing w:after="180" w:line="288" w:lineRule="auto"/>
    </w:pPr>
    <w:rPr>
      <w:rFonts w:eastAsiaTheme="minorHAnsi"/>
      <w:color w:val="404040" w:themeColor="text1" w:themeTint="BF"/>
      <w:sz w:val="20"/>
      <w:szCs w:val="20"/>
      <w:lang w:val="en-US" w:eastAsia="ja-JP"/>
    </w:rPr>
  </w:style>
  <w:style w:type="paragraph" w:styleId="ListBullet">
    <w:name w:val="List Bullet"/>
    <w:basedOn w:val="Normal"/>
    <w:uiPriority w:val="1"/>
    <w:unhideWhenUsed/>
    <w:qFormat/>
    <w:rsid w:val="00BE1102"/>
    <w:pPr>
      <w:numPr>
        <w:numId w:val="1"/>
      </w:numPr>
      <w:spacing w:after="60" w:line="288" w:lineRule="auto"/>
    </w:pPr>
    <w:rPr>
      <w:rFonts w:eastAsiaTheme="minorHAnsi"/>
      <w:color w:val="404040" w:themeColor="text1" w:themeTint="BF"/>
      <w:sz w:val="20"/>
      <w:szCs w:val="20"/>
      <w:lang w:val="en-US" w:eastAsia="ja-JP"/>
    </w:rPr>
  </w:style>
  <w:style w:type="paragraph" w:customStyle="1" w:styleId="E6BA1CD594674BF7852AE6F3756390C5">
    <w:name w:val="E6BA1CD594674BF7852AE6F3756390C5"/>
    <w:rsid w:val="0037401E"/>
    <w:pPr>
      <w:spacing w:after="180" w:line="288" w:lineRule="auto"/>
    </w:pPr>
    <w:rPr>
      <w:rFonts w:eastAsiaTheme="minorHAnsi"/>
      <w:color w:val="404040" w:themeColor="text1" w:themeTint="BF"/>
      <w:sz w:val="20"/>
      <w:szCs w:val="20"/>
      <w:lang w:val="en-US" w:eastAsia="ja-JP"/>
    </w:rPr>
  </w:style>
  <w:style w:type="paragraph" w:styleId="Header">
    <w:name w:val="header"/>
    <w:basedOn w:val="Normal"/>
    <w:link w:val="HeaderChar"/>
    <w:uiPriority w:val="99"/>
    <w:unhideWhenUsed/>
    <w:rsid w:val="00BE1102"/>
    <w:pPr>
      <w:tabs>
        <w:tab w:val="center" w:pos="4680"/>
        <w:tab w:val="right" w:pos="9360"/>
      </w:tabs>
      <w:spacing w:after="0" w:line="240" w:lineRule="auto"/>
    </w:pPr>
    <w:rPr>
      <w:rFonts w:eastAsiaTheme="minorHAnsi"/>
      <w:color w:val="404040" w:themeColor="text1" w:themeTint="BF"/>
      <w:sz w:val="20"/>
      <w:szCs w:val="20"/>
      <w:lang w:val="en-US" w:eastAsia="ja-JP"/>
    </w:rPr>
  </w:style>
  <w:style w:type="character" w:customStyle="1" w:styleId="HeaderChar">
    <w:name w:val="Header Char"/>
    <w:basedOn w:val="DefaultParagraphFont"/>
    <w:link w:val="Header"/>
    <w:uiPriority w:val="99"/>
    <w:rsid w:val="00BE1102"/>
    <w:rPr>
      <w:rFonts w:eastAsiaTheme="minorHAnsi"/>
      <w:color w:val="404040" w:themeColor="text1" w:themeTint="BF"/>
      <w:sz w:val="20"/>
      <w:szCs w:val="20"/>
      <w:lang w:val="en-US" w:eastAsia="ja-JP"/>
    </w:rPr>
  </w:style>
  <w:style w:type="paragraph" w:customStyle="1" w:styleId="C0FB36DD52F948FF8E45439CBA046E39">
    <w:name w:val="C0FB36DD52F948FF8E45439CBA046E39"/>
    <w:rsid w:val="0037401E"/>
    <w:pPr>
      <w:spacing w:after="180" w:line="288" w:lineRule="auto"/>
    </w:pPr>
    <w:rPr>
      <w:rFonts w:eastAsiaTheme="minorHAnsi"/>
      <w:color w:val="404040" w:themeColor="text1" w:themeTint="BF"/>
      <w:sz w:val="20"/>
      <w:szCs w:val="20"/>
      <w:lang w:val="en-US" w:eastAsia="ja-JP"/>
    </w:rPr>
  </w:style>
  <w:style w:type="table" w:styleId="GridTable4-Accent1">
    <w:name w:val="Grid Table 4 Accent 1"/>
    <w:basedOn w:val="TableNormal"/>
    <w:uiPriority w:val="49"/>
    <w:rsid w:val="00BE1102"/>
    <w:pPr>
      <w:spacing w:after="0" w:line="240" w:lineRule="auto"/>
    </w:pPr>
    <w:rPr>
      <w:rFonts w:eastAsiaTheme="minorHAnsi"/>
      <w:color w:val="404040" w:themeColor="text1" w:themeTint="BF"/>
      <w:sz w:val="18"/>
      <w:szCs w:val="20"/>
      <w:lang w:val="en-US" w:eastAsia="ja-JP"/>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CellMar>
        <w:top w:w="29" w:type="dxa"/>
        <w:bottom w:w="29" w:type="dxa"/>
      </w:tblCellMar>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17E113B0910744A78FCAD4C8B17083EC">
    <w:name w:val="17E113B0910744A78FCAD4C8B17083EC"/>
    <w:rsid w:val="0037401E"/>
    <w:pPr>
      <w:spacing w:after="180" w:line="288" w:lineRule="auto"/>
    </w:pPr>
    <w:rPr>
      <w:rFonts w:eastAsiaTheme="minorHAnsi"/>
      <w:color w:val="404040" w:themeColor="text1" w:themeTint="BF"/>
      <w:sz w:val="20"/>
      <w:szCs w:val="20"/>
      <w:lang w:val="en-US" w:eastAsia="ja-JP"/>
    </w:rPr>
  </w:style>
  <w:style w:type="paragraph" w:customStyle="1" w:styleId="0BB6231D5DAB44C1BB8C91C8F5FB0B71">
    <w:name w:val="0BB6231D5DAB44C1BB8C91C8F5FB0B71"/>
    <w:rsid w:val="0037401E"/>
    <w:pPr>
      <w:spacing w:after="180" w:line="288" w:lineRule="auto"/>
    </w:pPr>
    <w:rPr>
      <w:rFonts w:eastAsiaTheme="minorHAnsi"/>
      <w:color w:val="404040" w:themeColor="text1" w:themeTint="BF"/>
      <w:sz w:val="20"/>
      <w:szCs w:val="20"/>
      <w:lang w:val="en-US" w:eastAsia="ja-JP"/>
    </w:rPr>
  </w:style>
  <w:style w:type="paragraph" w:customStyle="1" w:styleId="F858E0E28F334904B3CF08CD67977FC2">
    <w:name w:val="F858E0E28F334904B3CF08CD67977FC2"/>
    <w:rsid w:val="0037401E"/>
    <w:pPr>
      <w:spacing w:after="180" w:line="288" w:lineRule="auto"/>
    </w:pPr>
    <w:rPr>
      <w:rFonts w:eastAsiaTheme="minorHAnsi"/>
      <w:color w:val="404040" w:themeColor="text1" w:themeTint="BF"/>
      <w:sz w:val="20"/>
      <w:szCs w:val="20"/>
      <w:lang w:val="en-US" w:eastAsia="ja-JP"/>
    </w:rPr>
  </w:style>
  <w:style w:type="paragraph" w:styleId="FootnoteText">
    <w:name w:val="footnote text"/>
    <w:basedOn w:val="Normal"/>
    <w:link w:val="FootnoteTextChar"/>
    <w:uiPriority w:val="12"/>
    <w:unhideWhenUsed/>
    <w:rsid w:val="00BE1102"/>
    <w:pPr>
      <w:spacing w:before="140" w:after="0" w:line="240" w:lineRule="auto"/>
    </w:pPr>
    <w:rPr>
      <w:rFonts w:eastAsiaTheme="minorHAnsi"/>
      <w:i/>
      <w:iCs/>
      <w:color w:val="404040" w:themeColor="text1" w:themeTint="BF"/>
      <w:sz w:val="14"/>
      <w:szCs w:val="20"/>
      <w:lang w:val="en-US" w:eastAsia="ja-JP"/>
    </w:rPr>
  </w:style>
  <w:style w:type="character" w:customStyle="1" w:styleId="FootnoteTextChar">
    <w:name w:val="Footnote Text Char"/>
    <w:basedOn w:val="DefaultParagraphFont"/>
    <w:link w:val="FootnoteText"/>
    <w:uiPriority w:val="12"/>
    <w:rsid w:val="00BE1102"/>
    <w:rPr>
      <w:rFonts w:eastAsiaTheme="minorHAnsi"/>
      <w:i/>
      <w:iCs/>
      <w:color w:val="404040" w:themeColor="text1" w:themeTint="BF"/>
      <w:sz w:val="14"/>
      <w:szCs w:val="20"/>
      <w:lang w:val="en-US" w:eastAsia="ja-JP"/>
    </w:rPr>
  </w:style>
  <w:style w:type="paragraph" w:customStyle="1" w:styleId="B27C3D6852E94D9FA6B9401A7D3C3C85">
    <w:name w:val="B27C3D6852E94D9FA6B9401A7D3C3C85"/>
    <w:rsid w:val="0037401E"/>
    <w:pPr>
      <w:spacing w:after="180" w:line="288" w:lineRule="auto"/>
    </w:pPr>
    <w:rPr>
      <w:rFonts w:eastAsiaTheme="minorHAnsi"/>
      <w:color w:val="404040" w:themeColor="text1" w:themeTint="BF"/>
      <w:sz w:val="20"/>
      <w:szCs w:val="20"/>
      <w:lang w:val="en-US" w:eastAsia="ja-JP"/>
    </w:rPr>
  </w:style>
  <w:style w:type="paragraph" w:customStyle="1" w:styleId="8E17441A4B0E4FCEADB64C1F36A26287">
    <w:name w:val="8E17441A4B0E4FCEADB64C1F36A26287"/>
    <w:rsid w:val="0037401E"/>
    <w:pPr>
      <w:spacing w:after="180" w:line="288" w:lineRule="auto"/>
    </w:pPr>
    <w:rPr>
      <w:rFonts w:eastAsiaTheme="minorHAnsi"/>
      <w:color w:val="404040" w:themeColor="text1" w:themeTint="BF"/>
      <w:sz w:val="20"/>
      <w:szCs w:val="20"/>
      <w:lang w:val="en-US" w:eastAsia="ja-JP"/>
    </w:rPr>
  </w:style>
  <w:style w:type="paragraph" w:styleId="Subtitle">
    <w:name w:val="Subtitle"/>
    <w:basedOn w:val="Normal"/>
    <w:next w:val="Normal"/>
    <w:link w:val="SubtitleChar"/>
    <w:uiPriority w:val="11"/>
    <w:qFormat/>
    <w:rsid w:val="001D0EBD"/>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1D0EBD"/>
    <w:rPr>
      <w:color w:val="5A5A5A" w:themeColor="text1" w:themeTint="A5"/>
      <w:spacing w:val="15"/>
    </w:rPr>
  </w:style>
  <w:style w:type="paragraph" w:styleId="ListParagraph">
    <w:name w:val="List Paragraph"/>
    <w:basedOn w:val="Normal"/>
    <w:uiPriority w:val="34"/>
    <w:unhideWhenUsed/>
    <w:qFormat/>
    <w:rsid w:val="00BE1102"/>
    <w:pPr>
      <w:spacing w:after="180" w:line="288" w:lineRule="auto"/>
      <w:ind w:left="720"/>
      <w:contextualSpacing/>
    </w:pPr>
    <w:rPr>
      <w:rFonts w:eastAsiaTheme="minorHAnsi"/>
      <w:color w:val="404040" w:themeColor="text1" w:themeTint="BF"/>
      <w:sz w:val="20"/>
      <w:szCs w:val="20"/>
      <w:lang w:val="en-US" w:eastAsia="ja-JP"/>
    </w:rPr>
  </w:style>
  <w:style w:type="paragraph" w:customStyle="1" w:styleId="C1E531D692B8464EBA950DC651707AC71">
    <w:name w:val="C1E531D692B8464EBA950DC651707AC71"/>
    <w:rsid w:val="00BE1102"/>
    <w:pPr>
      <w:pBdr>
        <w:left w:val="double" w:sz="18" w:space="4" w:color="0A2F41" w:themeColor="accent1" w:themeShade="80"/>
      </w:pBdr>
      <w:spacing w:after="0" w:line="420" w:lineRule="exact"/>
    </w:pPr>
    <w:rPr>
      <w:rFonts w:asciiTheme="majorHAnsi" w:eastAsiaTheme="majorEastAsia" w:hAnsiTheme="majorHAnsi" w:cstheme="majorBidi"/>
      <w:caps/>
      <w:color w:val="0A2F41" w:themeColor="accent1" w:themeShade="80"/>
      <w:kern w:val="28"/>
      <w:sz w:val="38"/>
      <w:szCs w:val="20"/>
      <w:lang w:val="en-US" w:eastAsia="ja-JP"/>
    </w:rPr>
  </w:style>
  <w:style w:type="paragraph" w:customStyle="1" w:styleId="4D90955BA4694F94801EE434DBF2BD5D1">
    <w:name w:val="4D90955BA4694F94801EE434DBF2BD5D1"/>
    <w:rsid w:val="00BE1102"/>
    <w:pPr>
      <w:numPr>
        <w:ilvl w:val="1"/>
      </w:numPr>
      <w:pBdr>
        <w:left w:val="double" w:sz="18" w:space="4" w:color="0A2F41" w:themeColor="accent1" w:themeShade="80"/>
      </w:pBdr>
      <w:spacing w:before="80" w:after="0" w:line="280" w:lineRule="exact"/>
    </w:pPr>
    <w:rPr>
      <w:rFonts w:eastAsiaTheme="minorHAnsi"/>
      <w:b/>
      <w:bCs/>
      <w:color w:val="156082" w:themeColor="accent1"/>
      <w:sz w:val="24"/>
      <w:szCs w:val="20"/>
      <w:lang w:val="en-US" w:eastAsia="ja-JP"/>
    </w:rPr>
  </w:style>
  <w:style w:type="paragraph" w:customStyle="1" w:styleId="878C14744D8446A985FD9C36345431DF1">
    <w:name w:val="878C14744D8446A985FD9C36345431DF1"/>
    <w:rsid w:val="00BE1102"/>
    <w:pPr>
      <w:numPr>
        <w:ilvl w:val="1"/>
      </w:numPr>
      <w:pBdr>
        <w:left w:val="double" w:sz="18" w:space="4" w:color="0A2F41" w:themeColor="accent1" w:themeShade="80"/>
      </w:pBdr>
      <w:spacing w:before="80" w:after="0" w:line="280" w:lineRule="exact"/>
    </w:pPr>
    <w:rPr>
      <w:rFonts w:eastAsiaTheme="minorHAnsi"/>
      <w:b/>
      <w:bCs/>
      <w:color w:val="156082" w:themeColor="accent1"/>
      <w:sz w:val="24"/>
      <w:szCs w:val="20"/>
      <w:lang w:val="en-US" w:eastAsia="ja-JP"/>
    </w:rPr>
  </w:style>
  <w:style w:type="paragraph" w:customStyle="1" w:styleId="1913178EBB6244FB91C5F77DA5ACBBF11">
    <w:name w:val="1913178EBB6244FB91C5F77DA5ACBBF11"/>
    <w:rsid w:val="00BE1102"/>
    <w:pPr>
      <w:spacing w:after="180" w:line="288" w:lineRule="auto"/>
    </w:pPr>
    <w:rPr>
      <w:rFonts w:eastAsiaTheme="minorHAnsi"/>
      <w:color w:val="404040" w:themeColor="text1" w:themeTint="BF"/>
      <w:sz w:val="20"/>
      <w:szCs w:val="20"/>
      <w:lang w:val="en-US" w:eastAsia="ja-JP"/>
    </w:rPr>
  </w:style>
  <w:style w:type="paragraph" w:customStyle="1" w:styleId="TipText">
    <w:name w:val="Tip Text"/>
    <w:basedOn w:val="Normal"/>
    <w:uiPriority w:val="99"/>
    <w:rsid w:val="00BE1102"/>
    <w:pPr>
      <w:spacing w:line="264" w:lineRule="auto"/>
      <w:ind w:right="576"/>
    </w:pPr>
    <w:rPr>
      <w:rFonts w:eastAsiaTheme="minorHAnsi"/>
      <w:i/>
      <w:iCs/>
      <w:color w:val="7F7F7F" w:themeColor="text1" w:themeTint="80"/>
      <w:sz w:val="16"/>
      <w:szCs w:val="20"/>
      <w:lang w:val="en-US" w:eastAsia="ja-JP"/>
    </w:rPr>
  </w:style>
  <w:style w:type="paragraph" w:customStyle="1" w:styleId="21DC3AF8AA2B448399B3CA691F8F3F421">
    <w:name w:val="21DC3AF8AA2B448399B3CA691F8F3F421"/>
    <w:rsid w:val="00BE1102"/>
    <w:pPr>
      <w:spacing w:after="180" w:line="288" w:lineRule="auto"/>
    </w:pPr>
    <w:rPr>
      <w:rFonts w:eastAsiaTheme="minorHAnsi"/>
      <w:color w:val="404040" w:themeColor="text1" w:themeTint="BF"/>
      <w:sz w:val="20"/>
      <w:szCs w:val="20"/>
      <w:lang w:val="en-US" w:eastAsia="ja-JP"/>
    </w:rPr>
  </w:style>
  <w:style w:type="paragraph" w:customStyle="1" w:styleId="05FB5A7B12874EDDA602FB3D26B7D1BE1">
    <w:name w:val="05FB5A7B12874EDDA602FB3D26B7D1BE1"/>
    <w:rsid w:val="00BE1102"/>
    <w:pPr>
      <w:spacing w:after="180" w:line="288" w:lineRule="auto"/>
    </w:pPr>
    <w:rPr>
      <w:rFonts w:eastAsiaTheme="minorHAnsi"/>
      <w:color w:val="404040" w:themeColor="text1" w:themeTint="BF"/>
      <w:sz w:val="20"/>
      <w:szCs w:val="20"/>
      <w:lang w:val="en-US" w:eastAsia="ja-JP"/>
    </w:rPr>
  </w:style>
  <w:style w:type="paragraph" w:customStyle="1" w:styleId="7D8B63CE996F49CBAD65BE5F8B9DFBB21">
    <w:name w:val="7D8B63CE996F49CBAD65BE5F8B9DFBB21"/>
    <w:rsid w:val="00BE1102"/>
    <w:pPr>
      <w:spacing w:after="180" w:line="288" w:lineRule="auto"/>
    </w:pPr>
    <w:rPr>
      <w:rFonts w:eastAsiaTheme="minorHAnsi"/>
      <w:color w:val="404040" w:themeColor="text1" w:themeTint="BF"/>
      <w:sz w:val="20"/>
      <w:szCs w:val="20"/>
      <w:lang w:val="en-US" w:eastAsia="ja-JP"/>
    </w:rPr>
  </w:style>
  <w:style w:type="paragraph" w:customStyle="1" w:styleId="926140469FCB4EB093DE7EB6695B7CB11">
    <w:name w:val="926140469FCB4EB093DE7EB6695B7CB11"/>
    <w:rsid w:val="00BE1102"/>
    <w:pPr>
      <w:spacing w:after="180" w:line="288" w:lineRule="auto"/>
    </w:pPr>
    <w:rPr>
      <w:rFonts w:eastAsiaTheme="minorHAnsi"/>
      <w:color w:val="404040" w:themeColor="text1" w:themeTint="BF"/>
      <w:sz w:val="20"/>
      <w:szCs w:val="20"/>
      <w:lang w:val="en-US" w:eastAsia="ja-JP"/>
    </w:rPr>
  </w:style>
  <w:style w:type="paragraph" w:customStyle="1" w:styleId="E6BA1CD594674BF7852AE6F3756390C51">
    <w:name w:val="E6BA1CD594674BF7852AE6F3756390C51"/>
    <w:rsid w:val="00BE1102"/>
    <w:pPr>
      <w:spacing w:after="180" w:line="288" w:lineRule="auto"/>
    </w:pPr>
    <w:rPr>
      <w:rFonts w:eastAsiaTheme="minorHAnsi"/>
      <w:color w:val="404040" w:themeColor="text1" w:themeTint="BF"/>
      <w:sz w:val="20"/>
      <w:szCs w:val="20"/>
      <w:lang w:val="en-US" w:eastAsia="ja-JP"/>
    </w:rPr>
  </w:style>
  <w:style w:type="paragraph" w:customStyle="1" w:styleId="C0FB36DD52F948FF8E45439CBA046E391">
    <w:name w:val="C0FB36DD52F948FF8E45439CBA046E391"/>
    <w:rsid w:val="00BE1102"/>
    <w:pPr>
      <w:spacing w:after="180" w:line="288" w:lineRule="auto"/>
    </w:pPr>
    <w:rPr>
      <w:rFonts w:eastAsiaTheme="minorHAnsi"/>
      <w:color w:val="404040" w:themeColor="text1" w:themeTint="BF"/>
      <w:sz w:val="20"/>
      <w:szCs w:val="20"/>
      <w:lang w:val="en-US" w:eastAsia="ja-JP"/>
    </w:rPr>
  </w:style>
  <w:style w:type="paragraph" w:customStyle="1" w:styleId="17E113B0910744A78FCAD4C8B17083EC1">
    <w:name w:val="17E113B0910744A78FCAD4C8B17083EC1"/>
    <w:rsid w:val="00BE1102"/>
    <w:pPr>
      <w:spacing w:after="180" w:line="288" w:lineRule="auto"/>
    </w:pPr>
    <w:rPr>
      <w:rFonts w:eastAsiaTheme="minorHAnsi"/>
      <w:color w:val="404040" w:themeColor="text1" w:themeTint="BF"/>
      <w:sz w:val="20"/>
      <w:szCs w:val="20"/>
      <w:lang w:val="en-US" w:eastAsia="ja-JP"/>
    </w:rPr>
  </w:style>
  <w:style w:type="paragraph" w:customStyle="1" w:styleId="0BB6231D5DAB44C1BB8C91C8F5FB0B711">
    <w:name w:val="0BB6231D5DAB44C1BB8C91C8F5FB0B711"/>
    <w:rsid w:val="00BE1102"/>
    <w:pPr>
      <w:spacing w:after="180" w:line="288" w:lineRule="auto"/>
    </w:pPr>
    <w:rPr>
      <w:rFonts w:eastAsiaTheme="minorHAnsi"/>
      <w:color w:val="404040" w:themeColor="text1" w:themeTint="BF"/>
      <w:sz w:val="20"/>
      <w:szCs w:val="20"/>
      <w:lang w:val="en-US" w:eastAsia="ja-JP"/>
    </w:rPr>
  </w:style>
  <w:style w:type="paragraph" w:customStyle="1" w:styleId="F858E0E28F334904B3CF08CD67977FC21">
    <w:name w:val="F858E0E28F334904B3CF08CD67977FC21"/>
    <w:rsid w:val="00BE1102"/>
    <w:pPr>
      <w:spacing w:after="180" w:line="288" w:lineRule="auto"/>
    </w:pPr>
    <w:rPr>
      <w:rFonts w:eastAsiaTheme="minorHAnsi"/>
      <w:color w:val="404040" w:themeColor="text1" w:themeTint="BF"/>
      <w:sz w:val="20"/>
      <w:szCs w:val="20"/>
      <w:lang w:val="en-US" w:eastAsia="ja-JP"/>
    </w:rPr>
  </w:style>
  <w:style w:type="paragraph" w:customStyle="1" w:styleId="TeamNames">
    <w:name w:val="Team Names"/>
    <w:basedOn w:val="Subtitle"/>
    <w:link w:val="TeamNamesChar"/>
    <w:qFormat/>
    <w:rsid w:val="00BE1102"/>
    <w:pPr>
      <w:pBdr>
        <w:left w:val="double" w:sz="18" w:space="4" w:color="0A2F41" w:themeColor="accent1" w:themeShade="80"/>
      </w:pBdr>
      <w:spacing w:before="80" w:after="0" w:line="280" w:lineRule="exact"/>
    </w:pPr>
    <w:rPr>
      <w:rFonts w:eastAsiaTheme="minorHAnsi"/>
      <w:b/>
      <w:bCs/>
      <w:color w:val="156082" w:themeColor="accent1"/>
      <w:sz w:val="24"/>
      <w:szCs w:val="20"/>
      <w:lang w:val="en-US" w:eastAsia="ja-JP"/>
    </w:rPr>
  </w:style>
  <w:style w:type="character" w:customStyle="1" w:styleId="TeamNamesChar">
    <w:name w:val="Team Names Char"/>
    <w:basedOn w:val="SubtitleChar"/>
    <w:link w:val="TeamNames"/>
    <w:rsid w:val="00BE1102"/>
    <w:rPr>
      <w:rFonts w:eastAsiaTheme="minorHAnsi"/>
      <w:b/>
      <w:bCs/>
      <w:color w:val="156082" w:themeColor="accent1"/>
      <w:spacing w:val="15"/>
      <w:sz w:val="24"/>
      <w:szCs w:val="20"/>
      <w:lang w:val="en-US" w:eastAsia="ja-JP"/>
    </w:rPr>
  </w:style>
  <w:style w:type="paragraph" w:customStyle="1" w:styleId="B27C3D6852E94D9FA6B9401A7D3C3C851">
    <w:name w:val="B27C3D6852E94D9FA6B9401A7D3C3C851"/>
    <w:rsid w:val="00BE1102"/>
    <w:pPr>
      <w:spacing w:after="180" w:line="288" w:lineRule="auto"/>
    </w:pPr>
    <w:rPr>
      <w:rFonts w:eastAsiaTheme="minorHAnsi"/>
      <w:color w:val="404040" w:themeColor="text1" w:themeTint="BF"/>
      <w:sz w:val="20"/>
      <w:szCs w:val="20"/>
      <w:lang w:val="en-US" w:eastAsia="ja-JP"/>
    </w:rPr>
  </w:style>
  <w:style w:type="character" w:customStyle="1" w:styleId="Heading4Char">
    <w:name w:val="Heading 4 Char"/>
    <w:basedOn w:val="DefaultParagraphFont"/>
    <w:link w:val="Heading4"/>
    <w:uiPriority w:val="9"/>
    <w:rsid w:val="00BE1102"/>
    <w:rPr>
      <w:rFonts w:asciiTheme="majorHAnsi" w:eastAsiaTheme="majorEastAsia" w:hAnsiTheme="majorHAnsi" w:cstheme="majorBidi"/>
      <w:i/>
      <w:iCs/>
      <w:color w:val="0F4761" w:themeColor="accent1" w:themeShade="BF"/>
      <w:sz w:val="20"/>
      <w:szCs w:val="20"/>
      <w:lang w:val="en-US" w:eastAsia="ja-JP"/>
    </w:rPr>
  </w:style>
  <w:style w:type="paragraph" w:customStyle="1" w:styleId="8E17441A4B0E4FCEADB64C1F36A262871">
    <w:name w:val="8E17441A4B0E4FCEADB64C1F36A262871"/>
    <w:rsid w:val="00BE1102"/>
    <w:pPr>
      <w:spacing w:after="180" w:line="288" w:lineRule="auto"/>
    </w:pPr>
    <w:rPr>
      <w:rFonts w:eastAsiaTheme="minorHAnsi"/>
      <w:color w:val="404040" w:themeColor="text1" w:themeTint="BF"/>
      <w:sz w:val="20"/>
      <w:szCs w:val="20"/>
      <w:lang w:val="en-US" w:eastAsia="ja-JP"/>
    </w:rPr>
  </w:style>
  <w:style w:type="paragraph" w:customStyle="1" w:styleId="C1E531D692B8464EBA950DC651707AC72">
    <w:name w:val="C1E531D692B8464EBA950DC651707AC72"/>
    <w:rsid w:val="00BE1102"/>
    <w:pPr>
      <w:pBdr>
        <w:left w:val="double" w:sz="18" w:space="4" w:color="0A2F41" w:themeColor="accent1" w:themeShade="80"/>
      </w:pBdr>
      <w:spacing w:after="0" w:line="420" w:lineRule="exact"/>
    </w:pPr>
    <w:rPr>
      <w:rFonts w:asciiTheme="majorHAnsi" w:eastAsiaTheme="majorEastAsia" w:hAnsiTheme="majorHAnsi" w:cstheme="majorBidi"/>
      <w:caps/>
      <w:color w:val="0A2F41" w:themeColor="accent1" w:themeShade="80"/>
      <w:kern w:val="28"/>
      <w:sz w:val="38"/>
      <w:szCs w:val="20"/>
      <w:lang w:val="en-US" w:eastAsia="ja-JP"/>
    </w:rPr>
  </w:style>
  <w:style w:type="paragraph" w:customStyle="1" w:styleId="4D90955BA4694F94801EE434DBF2BD5D2">
    <w:name w:val="4D90955BA4694F94801EE434DBF2BD5D2"/>
    <w:rsid w:val="00BE1102"/>
    <w:pPr>
      <w:numPr>
        <w:ilvl w:val="1"/>
      </w:numPr>
      <w:pBdr>
        <w:left w:val="double" w:sz="18" w:space="4" w:color="0A2F41" w:themeColor="accent1" w:themeShade="80"/>
      </w:pBdr>
      <w:spacing w:before="80" w:after="0" w:line="280" w:lineRule="exact"/>
    </w:pPr>
    <w:rPr>
      <w:rFonts w:eastAsiaTheme="minorHAnsi"/>
      <w:b/>
      <w:bCs/>
      <w:color w:val="156082" w:themeColor="accent1"/>
      <w:sz w:val="24"/>
      <w:szCs w:val="20"/>
      <w:lang w:val="en-US" w:eastAsia="ja-JP"/>
    </w:rPr>
  </w:style>
  <w:style w:type="paragraph" w:customStyle="1" w:styleId="878C14744D8446A985FD9C36345431DF2">
    <w:name w:val="878C14744D8446A985FD9C36345431DF2"/>
    <w:rsid w:val="00BE1102"/>
    <w:pPr>
      <w:numPr>
        <w:ilvl w:val="1"/>
      </w:numPr>
      <w:pBdr>
        <w:left w:val="double" w:sz="18" w:space="4" w:color="0A2F41" w:themeColor="accent1" w:themeShade="80"/>
      </w:pBdr>
      <w:spacing w:before="80" w:after="0" w:line="280" w:lineRule="exact"/>
    </w:pPr>
    <w:rPr>
      <w:rFonts w:eastAsiaTheme="minorHAnsi"/>
      <w:b/>
      <w:bCs/>
      <w:color w:val="156082" w:themeColor="accent1"/>
      <w:sz w:val="24"/>
      <w:szCs w:val="20"/>
      <w:lang w:val="en-US" w:eastAsia="ja-JP"/>
    </w:rPr>
  </w:style>
  <w:style w:type="paragraph" w:customStyle="1" w:styleId="1913178EBB6244FB91C5F77DA5ACBBF12">
    <w:name w:val="1913178EBB6244FB91C5F77DA5ACBBF12"/>
    <w:rsid w:val="00BE1102"/>
    <w:pPr>
      <w:spacing w:after="180" w:line="288" w:lineRule="auto"/>
    </w:pPr>
    <w:rPr>
      <w:rFonts w:eastAsiaTheme="minorHAnsi"/>
      <w:color w:val="404040" w:themeColor="text1" w:themeTint="BF"/>
      <w:sz w:val="20"/>
      <w:szCs w:val="20"/>
      <w:lang w:val="en-US" w:eastAsia="ja-JP"/>
    </w:rPr>
  </w:style>
  <w:style w:type="paragraph" w:customStyle="1" w:styleId="21DC3AF8AA2B448399B3CA691F8F3F422">
    <w:name w:val="21DC3AF8AA2B448399B3CA691F8F3F422"/>
    <w:rsid w:val="00BE1102"/>
    <w:pPr>
      <w:spacing w:after="180" w:line="288" w:lineRule="auto"/>
    </w:pPr>
    <w:rPr>
      <w:rFonts w:eastAsiaTheme="minorHAnsi"/>
      <w:color w:val="404040" w:themeColor="text1" w:themeTint="BF"/>
      <w:sz w:val="20"/>
      <w:szCs w:val="20"/>
      <w:lang w:val="en-US" w:eastAsia="ja-JP"/>
    </w:rPr>
  </w:style>
  <w:style w:type="paragraph" w:customStyle="1" w:styleId="05FB5A7B12874EDDA602FB3D26B7D1BE2">
    <w:name w:val="05FB5A7B12874EDDA602FB3D26B7D1BE2"/>
    <w:rsid w:val="00BE1102"/>
    <w:pPr>
      <w:spacing w:after="180" w:line="288" w:lineRule="auto"/>
    </w:pPr>
    <w:rPr>
      <w:rFonts w:eastAsiaTheme="minorHAnsi"/>
      <w:color w:val="404040" w:themeColor="text1" w:themeTint="BF"/>
      <w:sz w:val="20"/>
      <w:szCs w:val="20"/>
      <w:lang w:val="en-US" w:eastAsia="ja-JP"/>
    </w:rPr>
  </w:style>
  <w:style w:type="paragraph" w:customStyle="1" w:styleId="7D8B63CE996F49CBAD65BE5F8B9DFBB22">
    <w:name w:val="7D8B63CE996F49CBAD65BE5F8B9DFBB22"/>
    <w:rsid w:val="00BE1102"/>
    <w:pPr>
      <w:spacing w:after="180" w:line="288" w:lineRule="auto"/>
    </w:pPr>
    <w:rPr>
      <w:rFonts w:eastAsiaTheme="minorHAnsi"/>
      <w:color w:val="404040" w:themeColor="text1" w:themeTint="BF"/>
      <w:sz w:val="20"/>
      <w:szCs w:val="20"/>
      <w:lang w:val="en-US" w:eastAsia="ja-JP"/>
    </w:rPr>
  </w:style>
  <w:style w:type="paragraph" w:customStyle="1" w:styleId="926140469FCB4EB093DE7EB6695B7CB12">
    <w:name w:val="926140469FCB4EB093DE7EB6695B7CB12"/>
    <w:rsid w:val="00BE1102"/>
    <w:pPr>
      <w:spacing w:after="180" w:line="288" w:lineRule="auto"/>
    </w:pPr>
    <w:rPr>
      <w:rFonts w:eastAsiaTheme="minorHAnsi"/>
      <w:color w:val="404040" w:themeColor="text1" w:themeTint="BF"/>
      <w:sz w:val="20"/>
      <w:szCs w:val="20"/>
      <w:lang w:val="en-US" w:eastAsia="ja-JP"/>
    </w:rPr>
  </w:style>
  <w:style w:type="paragraph" w:customStyle="1" w:styleId="E6BA1CD594674BF7852AE6F3756390C52">
    <w:name w:val="E6BA1CD594674BF7852AE6F3756390C52"/>
    <w:rsid w:val="00BE1102"/>
    <w:pPr>
      <w:spacing w:after="180" w:line="288" w:lineRule="auto"/>
    </w:pPr>
    <w:rPr>
      <w:rFonts w:eastAsiaTheme="minorHAnsi"/>
      <w:color w:val="404040" w:themeColor="text1" w:themeTint="BF"/>
      <w:sz w:val="20"/>
      <w:szCs w:val="20"/>
      <w:lang w:val="en-US" w:eastAsia="ja-JP"/>
    </w:rPr>
  </w:style>
  <w:style w:type="paragraph" w:customStyle="1" w:styleId="C0FB36DD52F948FF8E45439CBA046E392">
    <w:name w:val="C0FB36DD52F948FF8E45439CBA046E392"/>
    <w:rsid w:val="00BE1102"/>
    <w:pPr>
      <w:spacing w:after="180" w:line="288" w:lineRule="auto"/>
    </w:pPr>
    <w:rPr>
      <w:rFonts w:eastAsiaTheme="minorHAnsi"/>
      <w:color w:val="404040" w:themeColor="text1" w:themeTint="BF"/>
      <w:sz w:val="20"/>
      <w:szCs w:val="20"/>
      <w:lang w:val="en-US" w:eastAsia="ja-JP"/>
    </w:rPr>
  </w:style>
  <w:style w:type="paragraph" w:customStyle="1" w:styleId="17E113B0910744A78FCAD4C8B17083EC2">
    <w:name w:val="17E113B0910744A78FCAD4C8B17083EC2"/>
    <w:rsid w:val="00BE1102"/>
    <w:pPr>
      <w:spacing w:after="180" w:line="288" w:lineRule="auto"/>
    </w:pPr>
    <w:rPr>
      <w:rFonts w:eastAsiaTheme="minorHAnsi"/>
      <w:color w:val="404040" w:themeColor="text1" w:themeTint="BF"/>
      <w:sz w:val="20"/>
      <w:szCs w:val="20"/>
      <w:lang w:val="en-US" w:eastAsia="ja-JP"/>
    </w:rPr>
  </w:style>
  <w:style w:type="paragraph" w:customStyle="1" w:styleId="0BB6231D5DAB44C1BB8C91C8F5FB0B712">
    <w:name w:val="0BB6231D5DAB44C1BB8C91C8F5FB0B712"/>
    <w:rsid w:val="00BE1102"/>
    <w:pPr>
      <w:spacing w:after="180" w:line="288" w:lineRule="auto"/>
    </w:pPr>
    <w:rPr>
      <w:rFonts w:eastAsiaTheme="minorHAnsi"/>
      <w:color w:val="404040" w:themeColor="text1" w:themeTint="BF"/>
      <w:sz w:val="20"/>
      <w:szCs w:val="20"/>
      <w:lang w:val="en-US" w:eastAsia="ja-JP"/>
    </w:rPr>
  </w:style>
  <w:style w:type="paragraph" w:customStyle="1" w:styleId="F858E0E28F334904B3CF08CD67977FC22">
    <w:name w:val="F858E0E28F334904B3CF08CD67977FC22"/>
    <w:rsid w:val="00BE1102"/>
    <w:pPr>
      <w:spacing w:after="180" w:line="288" w:lineRule="auto"/>
    </w:pPr>
    <w:rPr>
      <w:rFonts w:eastAsiaTheme="minorHAnsi"/>
      <w:color w:val="404040" w:themeColor="text1" w:themeTint="BF"/>
      <w:sz w:val="20"/>
      <w:szCs w:val="20"/>
      <w:lang w:val="en-US" w:eastAsia="ja-JP"/>
    </w:rPr>
  </w:style>
  <w:style w:type="paragraph" w:customStyle="1" w:styleId="B27C3D6852E94D9FA6B9401A7D3C3C852">
    <w:name w:val="B27C3D6852E94D9FA6B9401A7D3C3C852"/>
    <w:rsid w:val="00BE1102"/>
    <w:pPr>
      <w:spacing w:after="180" w:line="288" w:lineRule="auto"/>
    </w:pPr>
    <w:rPr>
      <w:rFonts w:eastAsiaTheme="minorHAnsi"/>
      <w:color w:val="404040" w:themeColor="text1" w:themeTint="BF"/>
      <w:sz w:val="20"/>
      <w:szCs w:val="20"/>
      <w:lang w:val="en-US" w:eastAsia="ja-JP"/>
    </w:rPr>
  </w:style>
  <w:style w:type="paragraph" w:customStyle="1" w:styleId="8E17441A4B0E4FCEADB64C1F36A262872">
    <w:name w:val="8E17441A4B0E4FCEADB64C1F36A262872"/>
    <w:rsid w:val="00BE1102"/>
    <w:pPr>
      <w:spacing w:after="180" w:line="288" w:lineRule="auto"/>
    </w:pPr>
    <w:rPr>
      <w:rFonts w:eastAsiaTheme="minorHAnsi"/>
      <w:color w:val="404040" w:themeColor="text1" w:themeTint="BF"/>
      <w:sz w:val="20"/>
      <w:szCs w:val="20"/>
      <w:lang w:val="en-US" w:eastAsia="ja-JP"/>
    </w:rPr>
  </w:style>
  <w:style w:type="paragraph" w:customStyle="1" w:styleId="4E56195EF2694530843C8964DBFC1C93">
    <w:name w:val="4E56195EF2694530843C8964DBFC1C93"/>
    <w:rsid w:val="00551980"/>
    <w:pPr>
      <w:spacing w:line="278" w:lineRule="auto"/>
    </w:pPr>
    <w:rPr>
      <w:kern w:val="2"/>
      <w:sz w:val="24"/>
      <w:szCs w:val="24"/>
      <w14:ligatures w14:val="standardContextual"/>
    </w:rPr>
  </w:style>
  <w:style w:type="paragraph" w:customStyle="1" w:styleId="2297D63587274BFEBC613A98604F1F64">
    <w:name w:val="2297D63587274BFEBC613A98604F1F64"/>
    <w:rsid w:val="00551980"/>
    <w:pPr>
      <w:spacing w:line="278" w:lineRule="auto"/>
    </w:pPr>
    <w:rPr>
      <w:kern w:val="2"/>
      <w:sz w:val="24"/>
      <w:szCs w:val="24"/>
      <w14:ligatures w14:val="standardContextual"/>
    </w:rPr>
  </w:style>
  <w:style w:type="paragraph" w:customStyle="1" w:styleId="BDE706FE11EA44429DD67BB206C3B932">
    <w:name w:val="BDE706FE11EA44429DD67BB206C3B932"/>
    <w:rsid w:val="008B45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E1004A73FEC147BD1AC326211480C8" ma:contentTypeVersion="3" ma:contentTypeDescription="Create a new document." ma:contentTypeScope="" ma:versionID="a2accf92d75d43de3fb568d622b03fe1">
  <xsd:schema xmlns:xsd="http://www.w3.org/2001/XMLSchema" xmlns:xs="http://www.w3.org/2001/XMLSchema" xmlns:p="http://schemas.microsoft.com/office/2006/metadata/properties" xmlns:ns2="8b4558a8-f570-4a84-bbec-04653b209e2a" targetNamespace="http://schemas.microsoft.com/office/2006/metadata/properties" ma:root="true" ma:fieldsID="ec03a738bff959470aab52bd289ce5c0" ns2:_="">
    <xsd:import namespace="8b4558a8-f570-4a84-bbec-04653b209e2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4558a8-f570-4a84-bbec-04653b209e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8F9215-7070-4FD8-8B82-5E8E3B5CD99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2EF1494-E8FC-4F32-B1D8-06561459546F}">
  <ds:schemaRefs>
    <ds:schemaRef ds:uri="http://schemas.microsoft.com/sharepoint/v3/contenttype/forms"/>
  </ds:schemaRefs>
</ds:datastoreItem>
</file>

<file path=customXml/itemProps3.xml><?xml version="1.0" encoding="utf-8"?>
<ds:datastoreItem xmlns:ds="http://schemas.openxmlformats.org/officeDocument/2006/customXml" ds:itemID="{C1212CD3-3984-4DAA-AE5C-51564068AE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4558a8-f570-4a84-bbec-04653b209e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4</Pages>
  <Words>950</Words>
  <Characters>5419</Characters>
  <Application>Microsoft Office Word</Application>
  <DocSecurity>0</DocSecurity>
  <Lines>45</Lines>
  <Paragraphs>12</Paragraphs>
  <ScaleCrop>false</ScaleCrop>
  <Company/>
  <LinksUpToDate>false</LinksUpToDate>
  <CharactersWithSpaces>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Masud Karim</cp:lastModifiedBy>
  <cp:revision>23</cp:revision>
  <dcterms:created xsi:type="dcterms:W3CDTF">2021-08-02T05:14:00Z</dcterms:created>
  <dcterms:modified xsi:type="dcterms:W3CDTF">2025-10-21T03:00:00Z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0x01010090E1004A73FEC147BD1AC326211480C8</vt:lpwstr>
  </property>
</Properties>
</file>