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목표 정의서</w:t>
      </w:r>
    </w:p>
    <w:p>
      <w:pPr>
        <w:spacing w:after="240"/>
      </w:pPr>
      <w:r>
        <w:rPr>
          <w:color w:val="52514E"/>
          <w:sz w:val="26"/>
          <w:szCs w:val="26"/>
        </w:rPr>
        <w:t xml:space="preserve">SafeSign PhysicalAI: 산업 안전 수신호 교육 키트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7711"/>
      </w:tblGrid>
      <w:tr>
        <w:trPr>
          <w:cantSplit/>
          <w:tblHeader w:val="off"/>
        </w:trPr>
        <w:tc>
          <w:tcPr>
            <w:tcW w:type="dxa" w:w="1927"/>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프로젝트</w:t>
            </w:r>
          </w:p>
        </w:tc>
        <w:tc>
          <w:tcPr>
            <w:tcW w:type="dxa" w:w="7711"/>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SafeSign PhysicalAI (산업 안전 수신호 교육 키트)</w:t>
            </w:r>
          </w:p>
        </w:tc>
      </w:tr>
      <w:tr>
        <w:trPr>
          <w:cantSplit/>
          <w:tblHeader w:val="off"/>
        </w:trPr>
        <w:tc>
          <w:tcPr>
            <w:tcW w:type="dxa" w:w="1927"/>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버전</w:t>
            </w:r>
          </w:p>
        </w:tc>
        <w:tc>
          <w:tcPr>
            <w:tcW w:type="dxa" w:w="7711"/>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v1.0 (기준 커밋 </w:t>
            </w:r>
            <w:r>
              <w:rPr>
                <w:rFonts w:ascii="Consolas" w:cs="Consolas" w:eastAsia="Malgun Gothic" w:hAnsi="Consolas"/>
                <w:sz w:val="18"/>
                <w:szCs w:val="18"/>
              </w:rPr>
              <w:t xml:space="preserve">dev</w:t>
            </w:r>
            <w:r>
              <w:rPr>
                <w:sz w:val="18"/>
                <w:szCs w:val="18"/>
              </w:rPr>
              <w:t xml:space="preserve"> </w:t>
            </w:r>
            <w:r>
              <w:rPr>
                <w:rFonts w:ascii="Consolas" w:cs="Consolas" w:eastAsia="Malgun Gothic" w:hAnsi="Consolas"/>
                <w:sz w:val="18"/>
                <w:szCs w:val="18"/>
              </w:rPr>
              <w:t xml:space="preserve">d184988</w:t>
            </w:r>
            <w:r>
              <w:rPr>
                <w:sz w:val="18"/>
                <w:szCs w:val="18"/>
              </w:rPr>
              <w:t xml:space="preserve">)</w:t>
            </w:r>
          </w:p>
        </w:tc>
      </w:tr>
      <w:tr>
        <w:trPr>
          <w:cantSplit/>
          <w:tblHeader w:val="off"/>
        </w:trPr>
        <w:tc>
          <w:tcPr>
            <w:tcW w:type="dxa" w:w="1927"/>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원본</w:t>
            </w:r>
          </w:p>
        </w:tc>
        <w:tc>
          <w:tcPr>
            <w:tcW w:type="dxa" w:w="7711"/>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rFonts w:ascii="Consolas" w:cs="Consolas" w:eastAsia="Malgun Gothic" w:hAnsi="Consolas"/>
                <w:sz w:val="18"/>
                <w:szCs w:val="18"/>
              </w:rPr>
              <w:t xml:space="preserve">document/22_목표정의서.md</w:t>
            </w:r>
          </w:p>
        </w:tc>
      </w:tr>
    </w:tbl>
    <w:p>
      <w:pPr>
        <w:spacing w:after="120"/>
      </w:pPr>
    </w:p>
    <w:p>
      <w:pPr>
        <w:spacing w:after="120" w:line="300"/>
      </w:pPr>
      <w:r>
        <w:rPr>
          <w:b/>
          <w:bCs/>
        </w:rPr>
        <w:t xml:space="preserve">팀명</w:t>
      </w:r>
      <w:r>
        <w:t xml:space="preserve">: 심기일전 · </w:t>
      </w:r>
      <w:r>
        <w:rPr>
          <w:b/>
          <w:bCs/>
        </w:rPr>
        <w:t xml:space="preserve">작성자</w:t>
      </w:r>
      <w:r>
        <w:t xml:space="preserve">: 송승호 · </w:t>
      </w:r>
      <w:r>
        <w:rPr>
          <w:b/>
          <w:bCs/>
        </w:rPr>
        <w:t xml:space="preserve">작성일</w:t>
      </w:r>
      <w:r>
        <w:t xml:space="preserve">: 2026-10-06 · </w:t>
      </w:r>
      <w:r>
        <w:rPr>
          <w:b/>
          <w:bCs/>
        </w:rPr>
        <w:t xml:space="preserve">대상</w:t>
      </w:r>
      <w:r>
        <w:t xml:space="preserve">: SafeSign PhysicalAI (산업 안전 수신호 교육 키트)</w:t>
      </w:r>
    </w:p>
    <w:p>
      <w:pPr>
        <w:spacing w:after="120" w:line="300"/>
      </w:pPr>
      <w:r>
        <w:rPr>
          <w:color w:val="52514E"/>
          <w:sz w:val="18"/>
          <w:szCs w:val="18"/>
        </w:rPr>
        <w:t xml:space="preserve">이 문서는 </w:t>
      </w:r>
      <w:r>
        <w:rPr>
          <w:color w:val="52514E"/>
          <w:sz w:val="18"/>
          <w:szCs w:val="18"/>
        </w:rPr>
        <w:t xml:space="preserve">01_프로젝트계획서</w:t>
      </w:r>
      <w:r>
        <w:rPr>
          <w:color w:val="52514E"/>
          <w:sz w:val="18"/>
          <w:szCs w:val="18"/>
        </w:rPr>
        <w:t xml:space="preserve"> v4.3의 "추진 배경과 목적"·"범위"·"목표와 KPI" 세 절을 </w:t>
      </w:r>
      <w:r>
        <w:rPr>
          <w:b/>
          <w:bCs/>
          <w:color w:val="52514E"/>
          <w:sz w:val="18"/>
          <w:szCs w:val="18"/>
        </w:rPr>
        <w:t xml:space="preserve">문제 정의 → 구현 범위 → 숫자 목표</w:t>
      </w:r>
      <w:r>
        <w:rPr>
          <w:color w:val="52514E"/>
          <w:sz w:val="18"/>
          <w:szCs w:val="18"/>
        </w:rPr>
        <w:t xml:space="preserve"> 순서로 다시 정리한 것이다. 내용은 01과 같고, 수정 이력(취소선·정정 표기)은 빼고 결론만 적었다. 일정·역할(RACI)·산출물은 01에 있다. 인용한 법령·통계·논문의 원문과 인용 시 주의점은 </w:t>
      </w:r>
      <w:r>
        <w:rPr>
          <w:color w:val="52514E"/>
          <w:sz w:val="18"/>
          <w:szCs w:val="18"/>
        </w:rPr>
        <w:t xml:space="preserve">proposals/참고자료</w:t>
      </w:r>
      <w:r>
        <w:rPr>
          <w:color w:val="52514E"/>
          <w:sz w:val="18"/>
          <w:szCs w:val="18"/>
        </w:rPr>
        <w:t xml:space="preserve">에 있다.</w:t>
      </w:r>
    </w:p>
    <w:p>
      <w:pPr>
        <w:pStyle w:val="Heading2"/>
      </w:pPr>
      <w:r>
        <w:t xml:space="preserve">1. 문제 정의</w:t>
      </w:r>
    </w:p>
    <w:p>
      <w:pPr>
        <w:pStyle w:val="Heading3"/>
      </w:pPr>
      <w:r>
        <w:t xml:space="preserve">1-1. 현장의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8"/>
        <w:gridCol w:w="8500"/>
      </w:tblGrid>
      <w:tr>
        <w:trPr>
          <w:cantSplit/>
          <w:tblHeader/>
        </w:trPr>
        <w:tc>
          <w:tcPr>
            <w:tcW w:type="dxa" w:w="1138"/>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문제</w:t>
            </w:r>
          </w:p>
        </w:tc>
        <w:tc>
          <w:tcPr>
            <w:tcW w:type="dxa" w:w="8500"/>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근거</w:t>
            </w:r>
          </w:p>
        </w:tc>
      </w:tr>
      <w:tr>
        <w:trPr>
          <w:cantSplit/>
          <w:tblHeader w:val="off"/>
        </w:trPr>
        <w:tc>
          <w:tcPr>
            <w:tcW w:type="dxa" w:w="1138"/>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신호는 법으로 정한 안전 수단이다</w:t>
            </w:r>
          </w:p>
        </w:tc>
        <w:tc>
          <w:tcPr>
            <w:tcW w:type="dxa" w:w="850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양중기(크레인 등)를 쓰는 작업은 사업주가 신호방법을 정해 신호하게 하고, 운전자와 근로자는 그 신호를 따라야 한다(산업안전보건기준에 관한 규칙 제40조). 타워크레인 신호업무는 특별교육 대상이고 교육 내용에 "신호방법 및 요령"이 있다(산업안전보건법 시행규칙 별표 5, 39번)</w:t>
            </w:r>
          </w:p>
        </w:tc>
      </w:tr>
      <w:tr>
        <w:trPr>
          <w:cantSplit/>
          <w:tblHeader w:val="off"/>
        </w:trPr>
        <w:tc>
          <w:tcPr>
            <w:tcW w:type="dxa" w:w="1138"/>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신호가 어긋나면 사고가 난다</w:t>
            </w:r>
          </w:p>
        </w:tc>
        <w:tc>
          <w:tcPr>
            <w:tcW w:type="dxa" w:w="850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타워크레인 양중작업 재해 343건 중 45건(13.0%)이 신호체계 미준수(신호방법 미숙지·신호 순서 미준수·신호내용 착각 등)에서 생겼다(임현무·김승호, 안전문화연구 18호, 2022, 원출처 안전보건공단). 이동식 크레인 사망재해 연구도 "운전자와 주변 작업자 간의 신호소통상에 의한 사고"를 주요 요인으로 꼽았다(신운철 외, 산업안전보건연구원, 2014). 현장마다 신호 용어를 따로 정해 쓰고, 현장실습 없이 투입돼 운전원과 신호가 맞지 않는다는 지적도 있다(임현무·김승호, 2022)</w:t>
            </w:r>
          </w:p>
        </w:tc>
      </w:tr>
      <w:tr>
        <w:trPr>
          <w:cantSplit/>
          <w:tblHeader w:val="off"/>
        </w:trPr>
        <w:tc>
          <w:tcPr>
            <w:tcW w:type="dxa" w:w="1138"/>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크레인 사고는 지금도 사망으로 이어진다</w:t>
            </w:r>
          </w:p>
        </w:tc>
        <w:tc>
          <w:tcPr>
            <w:tcW w:type="dxa" w:w="850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2023년 근로감독관 조사 사망재해 564명 중 크레인류(크레인·타워크레인·이동식크레인)가 기인물인 사망은 23명(4.1%)이다(고용노동부, 「2023 산업재해 현황분석」 — 신호 원인은 따로 세지 않음). 2020년 아산 이동식 크레인 사망 사고에서는 "별도로 정한 기준없이 통상적인 방법으로 신호를 주고 받"은 것(신호체계 미수립)이 원인 중 하나로 지적됐다(안전보건공단 중대재해 사례)</w:t>
            </w:r>
          </w:p>
        </w:tc>
      </w:tr>
      <w:tr>
        <w:trPr>
          <w:cantSplit/>
          <w:tblHeader w:val="off"/>
        </w:trPr>
        <w:tc>
          <w:tcPr>
            <w:tcW w:type="dxa" w:w="1138"/>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지금 교육은 이론 위주라 실제로 할 수 있는지 확인하지 못한다</w:t>
            </w:r>
          </w:p>
        </w:tc>
        <w:tc>
          <w:tcPr>
            <w:tcW w:type="dxa" w:w="850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국내 신호수는 자격증 없이 8시간 특별교육만 받으면 되고 자격 갱신도 없다. 교육은 이론 위주이고 실습·실기 평가가 없다는 지적이 있다(임현무·김승호, 2022 — 미국·영국·일본은 실기시험으로 검증). 그래서 영상·인쇄물 교육으로는 교육자가 학습자의 습득 정도를, 학습자가 자기 수준을 객관적으로 판단할 수단이 없다고 보았다(팀 문제 정의)</w:t>
            </w:r>
          </w:p>
        </w:tc>
      </w:tr>
    </w:tbl>
    <w:p>
      <w:pPr>
        <w:spacing w:after="60"/>
      </w:pPr>
    </w:p>
    <w:p>
      <w:pPr>
        <w:spacing w:after="120" w:line="300"/>
      </w:pPr>
      <w:r>
        <w:rPr>
          <w:b/>
          <w:bCs/>
          <w:color w:val="52514E"/>
          <w:sz w:val="18"/>
          <w:szCs w:val="18"/>
        </w:rPr>
        <w:t xml:space="preserve">인용 범위</w:t>
      </w:r>
      <w:r>
        <w:rPr>
          <w:color w:val="52514E"/>
          <w:sz w:val="18"/>
          <w:szCs w:val="18"/>
        </w:rPr>
        <w:t xml:space="preserve"> — 타워크레인 논문의 결론은 타워크레인 수신호를 무선 신호로 바꾸자는 것이라, 여기서는 </w:t>
      </w:r>
      <w:r>
        <w:rPr>
          <w:b/>
          <w:bCs/>
          <w:color w:val="52514E"/>
          <w:sz w:val="18"/>
          <w:szCs w:val="18"/>
        </w:rPr>
        <w:t xml:space="preserve">신호수 교육 체계의 문제</w:t>
      </w:r>
      <w:r>
        <w:rPr>
          <w:color w:val="52514E"/>
          <w:sz w:val="18"/>
          <w:szCs w:val="18"/>
        </w:rPr>
        <w:t xml:space="preserve"> 근거로만 쓴다. 이 키트의 수신호 7종 중 크레인 표준 기반 5종은 크레인작업표준신호지침(팔 동작)을 손 모양으로 </w:t>
      </w:r>
      <w:r>
        <w:rPr>
          <w:b/>
          <w:bCs/>
          <w:color w:val="52514E"/>
          <w:sz w:val="18"/>
          <w:szCs w:val="18"/>
        </w:rPr>
        <w:t xml:space="preserve">재해석한 시안</w:t>
      </w:r>
      <w:r>
        <w:rPr>
          <w:color w:val="52514E"/>
          <w:sz w:val="18"/>
          <w:szCs w:val="18"/>
        </w:rPr>
        <w:t xml:space="preserve">이다(</w:t>
      </w:r>
      <w:r>
        <w:rPr>
          <w:color w:val="52514E"/>
          <w:sz w:val="18"/>
          <w:szCs w:val="18"/>
        </w:rPr>
        <w:t xml:space="preserve">02 §4-1</w:t>
      </w:r>
      <w:r>
        <w:rPr>
          <w:color w:val="52514E"/>
          <w:sz w:val="18"/>
          <w:szCs w:val="18"/>
        </w:rPr>
        <w:t xml:space="preserve">).</w:t>
      </w:r>
    </w:p>
    <w:p>
      <w:pPr>
        <w:pStyle w:val="Heading3"/>
      </w:pPr>
      <w:r>
        <w:t xml:space="preserve">1-2. 사용자와 풀어야 할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8"/>
        <w:gridCol w:w="7770"/>
      </w:tblGrid>
      <w:tr>
        <w:trPr>
          <w:cantSplit/>
          <w:tblHeader/>
        </w:trPr>
        <w:tc>
          <w:tcPr>
            <w:tcW w:type="dxa" w:w="1868"/>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사용자</w:t>
            </w:r>
          </w:p>
        </w:tc>
        <w:tc>
          <w:tcPr>
            <w:tcW w:type="dxa" w:w="7770"/>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문제</w:t>
            </w:r>
          </w:p>
        </w:tc>
      </w:tr>
      <w:tr>
        <w:trPr>
          <w:cantSplit/>
          <w:tblHeader w:val="off"/>
        </w:trPr>
        <w:tc>
          <w:tcPr>
            <w:tcW w:type="dxa" w:w="1868"/>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신입·현장 작업자</w:t>
            </w:r>
          </w:p>
        </w:tc>
        <w:tc>
          <w:tcPr>
            <w:tcW w:type="dxa" w:w="777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수신호를 </w:t>
            </w:r>
            <w:r>
              <w:rPr>
                <w:b/>
                <w:bCs/>
                <w:sz w:val="18"/>
                <w:szCs w:val="18"/>
              </w:rPr>
              <w:t xml:space="preserve">본 적이 있는지</w:t>
            </w:r>
            <w:r>
              <w:rPr>
                <w:sz w:val="18"/>
                <w:szCs w:val="18"/>
              </w:rPr>
              <w:t xml:space="preserve">와 </w:t>
            </w:r>
            <w:r>
              <w:rPr>
                <w:b/>
                <w:bCs/>
                <w:sz w:val="18"/>
                <w:szCs w:val="18"/>
              </w:rPr>
              <w:t xml:space="preserve">실제로 할 수 있는지</w:t>
            </w:r>
            <w:r>
              <w:rPr>
                <w:sz w:val="18"/>
                <w:szCs w:val="18"/>
              </w:rPr>
              <w:t xml:space="preserve">를 구분해 확인할 방법이 없다</w:t>
            </w:r>
          </w:p>
        </w:tc>
      </w:tr>
      <w:tr>
        <w:trPr>
          <w:cantSplit/>
          <w:tblHeader w:val="off"/>
        </w:trPr>
        <w:tc>
          <w:tcPr>
            <w:tcW w:type="dxa" w:w="1868"/>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안전 교육자</w:t>
            </w:r>
          </w:p>
        </w:tc>
        <w:tc>
          <w:tcPr>
            <w:tcW w:type="dxa" w:w="777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누가 어떤 수신호에 약한지 숫자로 알 수 없다</w:t>
            </w:r>
          </w:p>
        </w:tc>
      </w:tr>
    </w:tbl>
    <w:p>
      <w:pPr>
        <w:spacing w:after="60"/>
      </w:pPr>
    </w:p>
    <w:p>
      <w:pPr>
        <w:pStyle w:val="Heading3"/>
      </w:pPr>
      <w:r>
        <w:t xml:space="preserve">1-3. 해결 방향</w:t>
      </w:r>
    </w:p>
    <w:p>
      <w:pPr>
        <w:spacing w:after="120" w:line="300"/>
      </w:pPr>
      <w:r>
        <w:t xml:space="preserve">로봇 손(AI Hand)이 수신호를 </w:t>
      </w:r>
      <w:r>
        <w:rPr>
          <w:b/>
          <w:bCs/>
        </w:rPr>
        <w:t xml:space="preserve">시범</w:t>
      </w:r>
      <w:r>
        <w:t xml:space="preserve">하고, 학습자가 따라 하면 카메라가 손을 </w:t>
      </w:r>
      <w:r>
        <w:rPr>
          <w:b/>
          <w:bCs/>
        </w:rPr>
        <w:t xml:space="preserve">판정</w:t>
      </w:r>
      <w:r>
        <w:t xml:space="preserve">하고, 결과를 micro:bit O/X와 picar 주행·LED로 </w:t>
      </w:r>
      <w:r>
        <w:rPr>
          <w:b/>
          <w:bCs/>
        </w:rPr>
        <w:t xml:space="preserve">몸으로 돌려주는</w:t>
      </w:r>
      <w:r>
        <w:t xml:space="preserve"> 체험·실습형 교육 키트를 만든다. 결과는 회원별·수신호별로 </w:t>
      </w:r>
      <w:r>
        <w:rPr>
          <w:b/>
          <w:bCs/>
        </w:rPr>
        <w:t xml:space="preserve">기록</w:t>
      </w:r>
      <w:r>
        <w:t xml:space="preserve">해 교육자가 볼 수 있게 한다. AI Hand는 시범 전용이라 판정 뒤에는 움직이지 않는다.</w:t>
      </w:r>
    </w:p>
    <w:p>
      <w:pPr>
        <w:pStyle w:val="ListParagraph"/>
        <w:numPr>
          <w:ilvl w:val="0"/>
          <w:numId w:val="2"/>
        </w:numPr>
        <w:spacing w:after="60" w:line="290"/>
      </w:pPr>
      <w:r>
        <w:t xml:space="preserve">체험·실습형 교육의 근거: VR 체험교육 이수자 설문에서 이해도 평균이 기존 온라인 교육 4.09에서 4.58로(5점 척도), 만족도·종합 평가도 12% 안팎 높았다(배필균, 서울과학기술대 석사논문, 2024). 단 시기·문항이 다른 설문의 평균 비교라 효과를 입증한 것은 아니고, 업종도 이차전지 제조업 1개사다.</w:t>
      </w:r>
    </w:p>
    <w:p>
      <w:pPr>
        <w:pStyle w:val="Heading3"/>
      </w:pPr>
      <w:r>
        <w:t xml:space="preserve">1-4. 기대 효과 (가설 — 이번 프로젝트에서 재지 않음)</w:t>
      </w:r>
    </w:p>
    <w:p>
      <w:pPr>
        <w:pStyle w:val="ListParagraph"/>
        <w:numPr>
          <w:ilvl w:val="0"/>
          <w:numId w:val="2"/>
        </w:numPr>
        <w:spacing w:after="60" w:line="290"/>
      </w:pPr>
      <w:r>
        <w:t xml:space="preserve">안전 수신호 습득 속도·정확도 향상</w:t>
      </w:r>
    </w:p>
    <w:p>
      <w:pPr>
        <w:pStyle w:val="ListParagraph"/>
        <w:numPr>
          <w:ilvl w:val="0"/>
          <w:numId w:val="2"/>
        </w:numPr>
        <w:spacing w:after="60" w:line="290"/>
      </w:pPr>
      <w:r>
        <w:t xml:space="preserve">작업자 간 소통 오류와 안전사고 감소</w:t>
      </w:r>
    </w:p>
    <w:p>
      <w:pPr>
        <w:pStyle w:val="ListParagraph"/>
        <w:numPr>
          <w:ilvl w:val="0"/>
          <w:numId w:val="2"/>
        </w:numPr>
        <w:spacing w:after="60" w:line="290"/>
      </w:pPr>
      <w:r>
        <w:t xml:space="preserve">학습자별 취약 수신호 파악과 보완 (합격/불합격 저장 기능은 구현 — </w:t>
      </w:r>
      <w:r>
        <w:t xml:space="preserve">18</w:t>
      </w:r>
      <w:r>
        <w:t xml:space="preserve">)</w:t>
      </w:r>
    </w:p>
    <w:p>
      <w:pPr>
        <w:spacing w:after="120" w:line="300"/>
      </w:pPr>
      <w:r>
        <w:rPr>
          <w:color w:val="52514E"/>
          <w:sz w:val="18"/>
          <w:szCs w:val="18"/>
        </w:rPr>
        <w:t xml:space="preserve">이번에 잰 것은 </w:t>
      </w:r>
      <w:r>
        <w:rPr>
          <w:b/>
          <w:bCs/>
          <w:color w:val="52514E"/>
          <w:sz w:val="18"/>
          <w:szCs w:val="18"/>
        </w:rPr>
        <w:t xml:space="preserve">시스템 성능</w:t>
      </w:r>
      <w:r>
        <w:rPr>
          <w:color w:val="52514E"/>
          <w:sz w:val="18"/>
          <w:szCs w:val="18"/>
        </w:rPr>
        <w:t xml:space="preserve">(아래 §3의 숫자 목표)뿐이다. 학습 효과와 사고 감소는 향후 현장 시범 운영에서 같은 학습자의 교육 전·후 시험을 비교하거나, 기존 교육(영상·인쇄물) 집단과 비교해 검증한다.</w:t>
      </w:r>
    </w:p>
    <w:p>
      <w:pPr>
        <w:pStyle w:val="Heading2"/>
      </w:pPr>
      <w:r>
        <w:t xml:space="preserve">2. 구현 범위</w:t>
      </w:r>
    </w:p>
    <w:p>
      <w:pPr>
        <w:pStyle w:val="Heading3"/>
      </w:pPr>
      <w:r>
        <w:t xml:space="preserve">2-1. 포함</w:t>
      </w:r>
    </w:p>
    <w:p>
      <w:pPr>
        <w:spacing w:after="120" w:line="300"/>
      </w:pPr>
      <w:r>
        <w:rPr>
          <w:b/>
          <w:bCs/>
        </w:rPr>
        <w:t xml:space="preserve">핵심 (KPI 대상)</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0"/>
        <w:gridCol w:w="7078"/>
        <w:gridCol w:w="1040"/>
      </w:tblGrid>
      <w:tr>
        <w:trPr>
          <w:cantSplit/>
          <w:tblHeader/>
        </w:trPr>
        <w:tc>
          <w:tcPr>
            <w:tcW w:type="dxa" w:w="1520"/>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항목</w:t>
            </w:r>
          </w:p>
        </w:tc>
        <w:tc>
          <w:tcPr>
            <w:tcW w:type="dxa" w:w="7078"/>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내용</w:t>
            </w:r>
          </w:p>
        </w:tc>
        <w:tc>
          <w:tcPr>
            <w:tcW w:type="dxa" w:w="1040"/>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상세</w:t>
            </w:r>
          </w:p>
        </w:tc>
      </w:tr>
      <w:tr>
        <w:trPr>
          <w:cantSplit/>
          <w:tblHeader w:val="off"/>
        </w:trPr>
        <w:tc>
          <w:tcPr>
            <w:tcW w:type="dxa" w:w="152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수신호 7종</w:t>
            </w:r>
          </w:p>
        </w:tc>
        <w:tc>
          <w:tcPr>
            <w:tcW w:type="dxa" w:w="7078"/>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정지 · 서행 · 좌회전 유도 · 우회전 유도 · 확인/완료 (크레인 표준 재해석 5종) + 후진 · 주의 (자체 지정 2종). 정적 손 모양 한 장면 판정</w:t>
            </w:r>
          </w:p>
        </w:tc>
        <w:tc>
          <w:tcPr>
            <w:tcW w:type="dxa" w:w="104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02 §4</w:t>
            </w:r>
          </w:p>
        </w:tc>
      </w:tr>
      <w:tr>
        <w:trPr>
          <w:cantSplit/>
          <w:tblHeader w:val="off"/>
        </w:trPr>
        <w:tc>
          <w:tcPr>
            <w:tcW w:type="dxa" w:w="152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시범</w:t>
            </w:r>
          </w:p>
        </w:tc>
        <w:tc>
          <w:tcPr>
            <w:tcW w:type="dxa" w:w="7078"/>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AI Hand가 수신호 손 모양을 만들어 보여 준다(micro:bit가 서보 구동, RPi5와 BLE)</w:t>
            </w:r>
          </w:p>
        </w:tc>
        <w:tc>
          <w:tcPr>
            <w:tcW w:type="dxa" w:w="104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11 §4</w:t>
            </w:r>
          </w:p>
        </w:tc>
      </w:tr>
      <w:tr>
        <w:trPr>
          <w:cantSplit/>
          <w:tblHeader w:val="off"/>
        </w:trPr>
        <w:tc>
          <w:tcPr>
            <w:tcW w:type="dxa" w:w="152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판정</w:t>
            </w:r>
          </w:p>
        </w:tc>
        <w:tc>
          <w:tcPr>
            <w:tcW w:type="dxa" w:w="7078"/>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카메라(RPi5 + Camera Module 3) → MediaPipe 손 랜드마크 → 특징 23개 → SVM. 확신이 없거나(τ 0.75 미달) 7종 밖이면 오답 대신 </w:t>
            </w:r>
            <w:r>
              <w:rPr>
                <w:b/>
                <w:bCs/>
                <w:sz w:val="18"/>
                <w:szCs w:val="18"/>
              </w:rPr>
              <w:t xml:space="preserve">미판정</w:t>
            </w:r>
            <w:r>
              <w:rPr>
                <w:sz w:val="18"/>
                <w:szCs w:val="18"/>
              </w:rPr>
              <w:t xml:space="preserve">으로 보류, 3프레임 연속 같을 때만 확정</w:t>
            </w:r>
          </w:p>
        </w:tc>
        <w:tc>
          <w:tcPr>
            <w:tcW w:type="dxa" w:w="104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05</w:t>
            </w:r>
          </w:p>
        </w:tc>
      </w:tr>
      <w:tr>
        <w:trPr>
          <w:cantSplit/>
          <w:tblHeader w:val="off"/>
        </w:trPr>
        <w:tc>
          <w:tcPr>
            <w:tcW w:type="dxa" w:w="152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물리 피드백</w:t>
            </w:r>
          </w:p>
        </w:tc>
        <w:tc>
          <w:tcPr>
            <w:tcW w:type="dxa" w:w="7078"/>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정답이면 picar가 그 신호대로 움직이고 micro:bit에 O, 오답이면 micro:bit에 X</w:t>
            </w:r>
          </w:p>
        </w:tc>
        <w:tc>
          <w:tcPr>
            <w:tcW w:type="dxa" w:w="104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03 §5</w:t>
            </w:r>
          </w:p>
        </w:tc>
      </w:tr>
      <w:tr>
        <w:trPr>
          <w:cantSplit/>
          <w:tblHeader w:val="off"/>
        </w:trPr>
        <w:tc>
          <w:tcPr>
            <w:tcW w:type="dxa" w:w="152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학습 흐름</w:t>
            </w:r>
          </w:p>
        </w:tc>
        <w:tc>
          <w:tcPr>
            <w:tcW w:type="dxa" w:w="7078"/>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시범 → 확인(화면 버튼·Space·micro:bit A 버튼) → 판정 → 피드백. 수신호마다 시도 3회, 판정 1회 10초 제한</w:t>
            </w:r>
          </w:p>
        </w:tc>
        <w:tc>
          <w:tcPr>
            <w:tcW w:type="dxa" w:w="104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09</w:t>
            </w:r>
          </w:p>
        </w:tc>
      </w:tr>
      <w:tr>
        <w:trPr>
          <w:cantSplit/>
          <w:tblHeader w:val="off"/>
        </w:trPr>
        <w:tc>
          <w:tcPr>
            <w:tcW w:type="dxa" w:w="152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일치율 표시</w:t>
            </w:r>
          </w:p>
        </w:tc>
        <w:tc>
          <w:tcPr>
            <w:tcW w:type="dxa" w:w="7078"/>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목표 수신호 확률 × 100을 0~100점으로 화면에 표시</w:t>
            </w:r>
          </w:p>
        </w:tc>
        <w:tc>
          <w:tcPr>
            <w:tcW w:type="dxa" w:w="104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05 §10-8</w:t>
            </w:r>
          </w:p>
        </w:tc>
      </w:tr>
      <w:tr>
        <w:trPr>
          <w:cantSplit/>
          <w:tblHeader w:val="off"/>
        </w:trPr>
        <w:tc>
          <w:tcPr>
            <w:tcW w:type="dxa" w:w="152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정량 지표 기록</w:t>
            </w:r>
          </w:p>
        </w:tc>
        <w:tc>
          <w:tcPr>
            <w:tcW w:type="dxa" w:w="7078"/>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판정마다 시행 로그(CSV)를 남겨 KPI를 계산</w:t>
            </w:r>
          </w:p>
        </w:tc>
        <w:tc>
          <w:tcPr>
            <w:tcW w:type="dxa" w:w="104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16 §5</w:t>
            </w:r>
          </w:p>
        </w:tc>
      </w:tr>
    </w:tbl>
    <w:p>
      <w:pPr>
        <w:spacing w:after="60"/>
      </w:pPr>
    </w:p>
    <w:p>
      <w:pPr>
        <w:spacing w:after="120" w:line="300"/>
      </w:pPr>
      <w:r>
        <w:rPr>
          <w:b/>
          <w:bCs/>
        </w:rPr>
        <w:t xml:space="preserve">부가 기능 (KPI 밖)</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1"/>
        <w:gridCol w:w="5836"/>
        <w:gridCol w:w="991"/>
      </w:tblGrid>
      <w:tr>
        <w:trPr>
          <w:cantSplit/>
          <w:tblHeader/>
        </w:trPr>
        <w:tc>
          <w:tcPr>
            <w:tcW w:type="dxa" w:w="2811"/>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항목</w:t>
            </w:r>
          </w:p>
        </w:tc>
        <w:tc>
          <w:tcPr>
            <w:tcW w:type="dxa" w:w="5836"/>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상태</w:t>
            </w:r>
          </w:p>
        </w:tc>
        <w:tc>
          <w:tcPr>
            <w:tcW w:type="dxa" w:w="991"/>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상세</w:t>
            </w:r>
          </w:p>
        </w:tc>
      </w:tr>
      <w:tr>
        <w:trPr>
          <w:cantSplit/>
          <w:tblHeader w:val="off"/>
        </w:trPr>
        <w:tc>
          <w:tcPr>
            <w:tcW w:type="dxa" w:w="2811"/>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회원가입·로그인, 회원별·수신호별 결과 저장(Supabase), 수료증</w:t>
            </w:r>
          </w:p>
        </w:tc>
        <w:tc>
          <w:tcPr>
            <w:tcW w:type="dxa" w:w="5836"/>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구현(2026-09-29~30)</w:t>
            </w:r>
          </w:p>
        </w:tc>
        <w:tc>
          <w:tcPr>
            <w:tcW w:type="dxa" w:w="991"/>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18</w:t>
            </w:r>
          </w:p>
        </w:tc>
      </w:tr>
      <w:tr>
        <w:trPr>
          <w:cantSplit/>
          <w:tblHeader w:val="off"/>
        </w:trPr>
        <w:tc>
          <w:tcPr>
            <w:tcW w:type="dxa" w:w="2811"/>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회사 웹사이트 — 같은 회원 DB로 가입·내 정보·수료증 재발급</w:t>
            </w:r>
          </w:p>
        </w:tc>
        <w:tc>
          <w:tcPr>
            <w:tcW w:type="dxa" w:w="5836"/>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구현(2026-09-30), 교육장 연동 확인(2026-10-04). </w:t>
            </w:r>
            <w:r>
              <w:rPr>
                <w:b/>
                <w:bCs/>
                <w:sz w:val="18"/>
                <w:szCs w:val="18"/>
              </w:rPr>
              <w:t xml:space="preserve">범위 포함 여부는 결정 대기</w:t>
            </w:r>
            <w:r>
              <w:rPr>
                <w:sz w:val="18"/>
                <w:szCs w:val="18"/>
              </w:rPr>
              <w:t xml:space="preserve"> — 외부 공개인데 가입 제한·개인정보 동의가 아직 없다</w:t>
            </w:r>
          </w:p>
        </w:tc>
        <w:tc>
          <w:tcPr>
            <w:tcW w:type="dxa" w:w="991"/>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19</w:t>
            </w:r>
            <w:r>
              <w:rPr>
                <w:sz w:val="18"/>
                <w:szCs w:val="18"/>
              </w:rPr>
              <w:t xml:space="preserve">, </w:t>
            </w:r>
            <w:r>
              <w:rPr>
                <w:sz w:val="18"/>
                <w:szCs w:val="18"/>
              </w:rPr>
              <w:t xml:space="preserve">08</w:t>
            </w:r>
          </w:p>
        </w:tc>
      </w:tr>
      <w:tr>
        <w:trPr>
          <w:cantSplit/>
          <w:tblHeader w:val="off"/>
        </w:trPr>
        <w:tc>
          <w:tcPr>
            <w:tcW w:type="dxa" w:w="2811"/>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QR/바코드 로그인, 직군별 커리큘럼 분기</w:t>
            </w:r>
          </w:p>
        </w:tc>
        <w:tc>
          <w:tcPr>
            <w:tcW w:type="dxa" w:w="5836"/>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구현하지 않음</w:t>
            </w:r>
            <w:r>
              <w:rPr>
                <w:sz w:val="18"/>
                <w:szCs w:val="18"/>
              </w:rPr>
              <w:t xml:space="preserve"> — 이메일·비밀번호 회원 로그인으로 대체, 커리큘럼은 7종 고정</w:t>
            </w:r>
          </w:p>
        </w:tc>
        <w:tc>
          <w:tcPr>
            <w:tcW w:type="dxa" w:w="991"/>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01 §범위</w:t>
            </w:r>
          </w:p>
        </w:tc>
      </w:tr>
    </w:tbl>
    <w:p>
      <w:pPr>
        <w:spacing w:after="60"/>
      </w:pPr>
    </w:p>
    <w:p>
      <w:pPr>
        <w:pStyle w:val="Heading3"/>
      </w:pPr>
      <w:r>
        <w:t xml:space="preserve">2-2. 제외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55"/>
        <w:gridCol w:w="5883"/>
      </w:tblGrid>
      <w:tr>
        <w:trPr>
          <w:cantSplit/>
          <w:tblHeader/>
        </w:trPr>
        <w:tc>
          <w:tcPr>
            <w:tcW w:type="dxa" w:w="3755"/>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제외 항목</w:t>
            </w:r>
          </w:p>
        </w:tc>
        <w:tc>
          <w:tcPr>
            <w:tcW w:type="dxa" w:w="5883"/>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이유</w:t>
            </w:r>
          </w:p>
        </w:tc>
      </w:tr>
      <w:tr>
        <w:trPr>
          <w:cantSplit/>
          <w:tblHeader w:val="off"/>
        </w:trPr>
        <w:tc>
          <w:tcPr>
            <w:tcW w:type="dxa" w:w="3755"/>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수신호 등록(새 수신호 실시간 추가)</w:t>
            </w:r>
          </w:p>
        </w:tc>
        <w:tc>
          <w:tcPr>
            <w:tcW w:type="dxa" w:w="5883"/>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학습된 분류기(SVM)는 학습 때 정한 클래스만 예측해, 새 수신호를 넣으려면 재학습이 필요하다</w:t>
            </w:r>
          </w:p>
        </w:tc>
      </w:tr>
      <w:tr>
        <w:trPr>
          <w:cantSplit/>
          <w:tblHeader w:val="off"/>
        </w:trPr>
        <w:tc>
          <w:tcPr>
            <w:tcW w:type="dxa" w:w="3755"/>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연속 제스처·동작 추적, 전신 신호(표준의 팔 동작)</w:t>
            </w:r>
          </w:p>
        </w:tc>
        <w:tc>
          <w:tcPr>
            <w:tcW w:type="dxa" w:w="5883"/>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정지 자세 판정만으로 교육 목적을 이룰 수 있고, 연속 동작은 데이터와 학습 비용이 크게 늘어난다</w:t>
            </w:r>
          </w:p>
        </w:tc>
      </w:tr>
      <w:tr>
        <w:trPr>
          <w:cantSplit/>
          <w:tblHeader w:val="off"/>
        </w:trPr>
        <w:tc>
          <w:tcPr>
            <w:tcW w:type="dxa" w:w="3755"/>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다중 사용자 동시 인식</w:t>
            </w:r>
          </w:p>
        </w:tc>
        <w:tc>
          <w:tcPr>
            <w:tcW w:type="dxa" w:w="5883"/>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교육장 키트는 학습자 1명 기준</w:t>
            </w:r>
          </w:p>
        </w:tc>
      </w:tr>
      <w:tr>
        <w:trPr>
          <w:cantSplit/>
          <w:tblHeader w:val="off"/>
        </w:trPr>
        <w:tc>
          <w:tcPr>
            <w:tcW w:type="dxa" w:w="3755"/>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악조건 인식(역광, 렌즈 이물질, 암실, 야간 조명, 장갑 착용)</w:t>
            </w:r>
          </w:p>
        </w:tc>
        <w:tc>
          <w:tcPr>
            <w:tcW w:type="dxa" w:w="5883"/>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교육장 실내 고정 환경을 전제로 한다</w:t>
            </w:r>
          </w:p>
        </w:tc>
      </w:tr>
      <w:tr>
        <w:trPr>
          <w:cantSplit/>
          <w:tblHeader w:val="off"/>
        </w:trPr>
        <w:tc>
          <w:tcPr>
            <w:tcW w:type="dxa" w:w="3755"/>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음성 안내·음성 신호</w:t>
            </w:r>
          </w:p>
        </w:tc>
        <w:tc>
          <w:tcPr>
            <w:tcW w:type="dxa" w:w="5883"/>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micro:bit의 BLE와 소리 기능을 함께 쓸 수 없다(펌웨어 패닉) — 소리 대신 LED로 알린다</w:t>
            </w:r>
          </w:p>
        </w:tc>
      </w:tr>
      <w:tr>
        <w:trPr>
          <w:cantSplit/>
          <w:tblHeader w:val="off"/>
        </w:trPr>
        <w:tc>
          <w:tcPr>
            <w:tcW w:type="dxa" w:w="3755"/>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모델 신규 학습(from scratch)</w:t>
            </w:r>
          </w:p>
        </w:tc>
        <w:tc>
          <w:tcPr>
            <w:tcW w:type="dxa" w:w="5883"/>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사전학습 MediaPipe + 경량 분류기 재학습까지만</w:t>
            </w:r>
          </w:p>
        </w:tc>
      </w:tr>
      <w:tr>
        <w:trPr>
          <w:cantSplit/>
          <w:tblHeader w:val="off"/>
        </w:trPr>
        <w:tc>
          <w:tcPr>
            <w:tcW w:type="dxa" w:w="3755"/>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picar 워치독 조종 모드</w:t>
            </w:r>
          </w:p>
        </w:tc>
        <w:tc>
          <w:tcPr>
            <w:tcW w:type="dxa" w:w="5883"/>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2026-09-30 회의에서 불채택, 향후 과제</w:t>
            </w:r>
          </w:p>
        </w:tc>
      </w:tr>
    </w:tbl>
    <w:p>
      <w:pPr>
        <w:spacing w:after="60"/>
      </w:pPr>
    </w:p>
    <w:p>
      <w:pPr>
        <w:pStyle w:val="Heading3"/>
      </w:pPr>
      <w:r>
        <w:t xml:space="preserve">2-3. 전제 조건</w:t>
      </w:r>
    </w:p>
    <w:p>
      <w:pPr>
        <w:pStyle w:val="ListParagraph"/>
        <w:numPr>
          <w:ilvl w:val="0"/>
          <w:numId w:val="2"/>
        </w:numPr>
        <w:spacing w:after="60" w:line="290"/>
      </w:pPr>
      <w:r>
        <w:t xml:space="preserve">AI Hand는 단순하고 명확한 </w:t>
      </w:r>
      <w:r>
        <w:rPr>
          <w:b/>
          <w:bCs/>
        </w:rPr>
        <w:t xml:space="preserve">정적 손 모양</w:t>
      </w:r>
      <w:r>
        <w:t xml:space="preserve">만 표현할 수 있다.</w:t>
      </w:r>
    </w:p>
    <w:p>
      <w:pPr>
        <w:pStyle w:val="ListParagraph"/>
        <w:numPr>
          <w:ilvl w:val="0"/>
          <w:numId w:val="2"/>
        </w:numPr>
        <w:spacing w:after="60" w:line="290"/>
      </w:pPr>
      <w:r>
        <w:t xml:space="preserve">카메라는 Raspberry Pi Camera Module 3(CSI)이고, 랜드마크는 RPi5에서 MediaPipe로 계산한다.</w:t>
      </w:r>
    </w:p>
    <w:p>
      <w:pPr>
        <w:pStyle w:val="ListParagraph"/>
        <w:numPr>
          <w:ilvl w:val="0"/>
          <w:numId w:val="2"/>
        </w:numPr>
        <w:spacing w:after="60" w:line="290"/>
      </w:pPr>
      <w:r>
        <w:t xml:space="preserve">시연·측정은 교육장 실내에서 RPi5 PLA 케이스·카메라 거치대를 설치하고 선풍기로 냉각한 상태로 한다(측정 조건과 같게 — </w:t>
      </w:r>
      <w:r>
        <w:t xml:space="preserve">06 §1-1</w:t>
      </w:r>
      <w:r>
        <w:t xml:space="preserve">).</w:t>
      </w:r>
    </w:p>
    <w:p>
      <w:pPr>
        <w:pStyle w:val="Heading2"/>
      </w:pPr>
      <w:r>
        <w:t xml:space="preserve">3. 숫자로 정한 목표치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
        <w:gridCol w:w="910"/>
        <w:gridCol w:w="2303"/>
        <w:gridCol w:w="3100"/>
        <w:gridCol w:w="2385"/>
      </w:tblGrid>
      <w:tr>
        <w:trPr>
          <w:cantSplit/>
          <w:tblHeader/>
        </w:trPr>
        <w:tc>
          <w:tcPr>
            <w:tcW w:type="dxa" w:w="940"/>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지표</w:t>
            </w:r>
          </w:p>
        </w:tc>
        <w:tc>
          <w:tcPr>
            <w:tcW w:type="dxa" w:w="910"/>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목표</w:t>
            </w:r>
          </w:p>
        </w:tc>
        <w:tc>
          <w:tcPr>
            <w:tcW w:type="dxa" w:w="2303"/>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정의 · 측정 방법</w:t>
            </w:r>
          </w:p>
        </w:tc>
        <w:tc>
          <w:tcPr>
            <w:tcW w:type="dxa" w:w="3100"/>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목표값 근거</w:t>
            </w:r>
          </w:p>
        </w:tc>
        <w:tc>
          <w:tcPr>
            <w:tcW w:type="dxa" w:w="2385"/>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결과 (</w:t>
            </w:r>
            <w:r>
              <w:rPr>
                <w:b/>
                <w:bCs/>
                <w:sz w:val="18"/>
                <w:szCs w:val="18"/>
              </w:rPr>
              <w:t xml:space="preserve">06 §2-1</w:t>
            </w:r>
            <w:r>
              <w:rPr>
                <w:b/>
                <w:bCs/>
                <w:sz w:val="18"/>
                <w:szCs w:val="18"/>
              </w:rPr>
              <w:t xml:space="preserve">)</w:t>
            </w:r>
          </w:p>
        </w:tc>
      </w:tr>
      <w:tr>
        <w:trPr>
          <w:cantSplit/>
          <w:tblHeader w:val="off"/>
        </w:trPr>
        <w:tc>
          <w:tcPr>
            <w:tcW w:type="dxa" w:w="94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대상 수신호</w:t>
            </w:r>
          </w:p>
        </w:tc>
        <w:tc>
          <w:tcPr>
            <w:tcW w:type="dxa" w:w="91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7종</w:t>
            </w:r>
          </w:p>
        </w:tc>
        <w:tc>
          <w:tcPr>
            <w:tcW w:type="dxa" w:w="2303"/>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7종 + 확신 부족·7종 밖은 미판정. "기타(negative)"는 학습 클래스가 아니다</w:t>
            </w:r>
          </w:p>
        </w:tc>
        <w:tc>
          <w:tcPr>
            <w:tcW w:type="dxa" w:w="310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범위 결정(§2)</w:t>
            </w:r>
          </w:p>
        </w:tc>
        <w:tc>
          <w:tcPr>
            <w:tcW w:type="dxa" w:w="2385"/>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7종 구현</w:t>
            </w:r>
          </w:p>
        </w:tc>
      </w:tr>
      <w:tr>
        <w:trPr>
          <w:cantSplit/>
          <w:tblHeader w:val="off"/>
        </w:trPr>
        <w:tc>
          <w:tcPr>
            <w:tcW w:type="dxa" w:w="94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정답률</w:t>
            </w:r>
          </w:p>
        </w:tc>
        <w:tc>
          <w:tcPr>
            <w:tcW w:type="dxa" w:w="91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 92%</w:t>
            </w:r>
          </w:p>
        </w:tc>
        <w:tc>
          <w:tcPr>
            <w:tcW w:type="dxa" w:w="2303"/>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정답 판정 수 / 전체 시도 수</w:t>
            </w:r>
          </w:p>
        </w:tc>
        <w:tc>
          <w:tcPr>
            <w:tcW w:type="dxa" w:w="310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팀이 정한 목표</w:t>
            </w:r>
          </w:p>
        </w:tc>
        <w:tc>
          <w:tcPr>
            <w:tcW w:type="dxa" w:w="2385"/>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95.2%</w:t>
            </w:r>
            <w:r>
              <w:rPr>
                <w:sz w:val="18"/>
                <w:szCs w:val="18"/>
              </w:rPr>
              <w:t xml:space="preserve"> (95% CI 91.5~97.4%) — 잠정 달성</w:t>
            </w:r>
          </w:p>
        </w:tc>
      </w:tr>
      <w:tr>
        <w:trPr>
          <w:cantSplit/>
          <w:tblHeader w:val="off"/>
        </w:trPr>
        <w:tc>
          <w:tcPr>
            <w:tcW w:type="dxa" w:w="94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오분류율</w:t>
            </w:r>
          </w:p>
        </w:tc>
        <w:tc>
          <w:tcPr>
            <w:tcW w:type="dxa" w:w="91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 3%</w:t>
            </w:r>
          </w:p>
        </w:tc>
        <w:tc>
          <w:tcPr>
            <w:tcW w:type="dxa" w:w="2303"/>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다른 수신호로 잘못 판정한 수 / 전체 시도 수</w:t>
            </w:r>
          </w:p>
        </w:tc>
        <w:tc>
          <w:tcPr>
            <w:tcW w:type="dxa" w:w="310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팀이 정한 목표</w:t>
            </w:r>
          </w:p>
        </w:tc>
        <w:tc>
          <w:tcPr>
            <w:tcW w:type="dxa" w:w="2385"/>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0%</w:t>
            </w:r>
            <w:r>
              <w:rPr>
                <w:sz w:val="18"/>
                <w:szCs w:val="18"/>
              </w:rPr>
              <w:t xml:space="preserve"> (95% 상한 1.8%) — 달성</w:t>
            </w:r>
          </w:p>
        </w:tc>
      </w:tr>
      <w:tr>
        <w:trPr>
          <w:cantSplit/>
          <w:tblHeader w:val="off"/>
        </w:trPr>
        <w:tc>
          <w:tcPr>
            <w:tcW w:type="dxa" w:w="94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미판정률</w:t>
            </w:r>
          </w:p>
        </w:tc>
        <w:tc>
          <w:tcPr>
            <w:tcW w:type="dxa" w:w="91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 5%</w:t>
            </w:r>
          </w:p>
        </w:tc>
        <w:tc>
          <w:tcPr>
            <w:tcW w:type="dxa" w:w="2303"/>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미판정(τ 미달·7종 밖) 수 / 전체 시도 수</w:t>
            </w:r>
          </w:p>
        </w:tc>
        <w:tc>
          <w:tcPr>
            <w:tcW w:type="dxa" w:w="310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팀이 정한 목표</w:t>
            </w:r>
          </w:p>
        </w:tc>
        <w:tc>
          <w:tcPr>
            <w:tcW w:type="dxa" w:w="2385"/>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4.8%</w:t>
            </w:r>
            <w:r>
              <w:rPr>
                <w:sz w:val="18"/>
                <w:szCs w:val="18"/>
              </w:rPr>
              <w:t xml:space="preserve"> (95% CI 2.6~8.5%) — 잠정 달성</w:t>
            </w:r>
          </w:p>
        </w:tc>
      </w:tr>
      <w:tr>
        <w:trPr>
          <w:cantSplit/>
          <w:tblHeader w:val="off"/>
        </w:trPr>
        <w:tc>
          <w:tcPr>
            <w:tcW w:type="dxa" w:w="94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Macro F1</w:t>
            </w:r>
          </w:p>
        </w:tc>
        <w:tc>
          <w:tcPr>
            <w:tcW w:type="dxa" w:w="91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 0.90</w:t>
            </w:r>
          </w:p>
        </w:tc>
        <w:tc>
          <w:tcPr>
            <w:tcW w:type="dxa" w:w="2303"/>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신호 7종 F1의 평균(negative 제외)</w:t>
            </w:r>
          </w:p>
        </w:tc>
        <w:tc>
          <w:tcPr>
            <w:tcW w:type="dxa" w:w="310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팀이 정한 목표</w:t>
            </w:r>
          </w:p>
        </w:tc>
        <w:tc>
          <w:tcPr>
            <w:tcW w:type="dxa" w:w="2385"/>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0.974</w:t>
            </w:r>
            <w:r>
              <w:rPr>
                <w:sz w:val="18"/>
                <w:szCs w:val="18"/>
              </w:rPr>
              <w:t xml:space="preserve"> — 달성</w:t>
            </w:r>
          </w:p>
        </w:tc>
      </w:tr>
      <w:tr>
        <w:trPr>
          <w:cantSplit/>
          <w:tblHeader w:val="off"/>
        </w:trPr>
        <w:tc>
          <w:tcPr>
            <w:tcW w:type="dxa" w:w="94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치명 오분류</w:t>
            </w:r>
          </w:p>
        </w:tc>
        <w:tc>
          <w:tcPr>
            <w:tcW w:type="dxa" w:w="91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0건</w:t>
            </w:r>
          </w:p>
        </w:tc>
        <w:tc>
          <w:tcPr>
            <w:tcW w:type="dxa" w:w="2303"/>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"정지"를 다른 신호 6종으로 판정한 건수</w:t>
            </w:r>
          </w:p>
        </w:tc>
        <w:tc>
          <w:tcPr>
            <w:tcW w:type="dxa" w:w="310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팀이 정한 목표</w:t>
            </w:r>
          </w:p>
        </w:tc>
        <w:tc>
          <w:tcPr>
            <w:tcW w:type="dxa" w:w="2385"/>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0건</w:t>
            </w:r>
            <w:r>
              <w:rPr>
                <w:sz w:val="18"/>
                <w:szCs w:val="18"/>
              </w:rPr>
              <w:t xml:space="preserve"> (정지 30시도, 95% 상한 11.4%) — 잠정 달성</w:t>
            </w:r>
          </w:p>
        </w:tc>
      </w:tr>
      <w:tr>
        <w:trPr>
          <w:cantSplit/>
          <w:tblHeader w:val="off"/>
        </w:trPr>
        <w:tc>
          <w:tcPr>
            <w:tcW w:type="dxa" w:w="94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판정 지연 (P95)</w:t>
            </w:r>
          </w:p>
        </w:tc>
        <w:tc>
          <w:tcPr>
            <w:tcW w:type="dxa" w:w="91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 1.0초</w:t>
            </w:r>
          </w:p>
        </w:tc>
        <w:tc>
          <w:tcPr>
            <w:tcW w:type="dxa" w:w="2303"/>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연속 판정을 확정한 마지막 프레임의 캡처 → 판정</w:t>
            </w:r>
          </w:p>
        </w:tc>
        <w:tc>
          <w:tcPr>
            <w:tcW w:type="dxa" w:w="310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응답시간 1초 한계 — 사용자의 생각 흐름이 끊기지 않는 한계(Nielsen, </w:t>
            </w:r>
            <w:r>
              <w:rPr>
                <w:i/>
                <w:iCs/>
                <w:sz w:val="18"/>
                <w:szCs w:val="18"/>
              </w:rPr>
              <w:t xml:space="preserve">Usability Engineering</w:t>
            </w:r>
            <w:r>
              <w:rPr>
                <w:sz w:val="18"/>
                <w:szCs w:val="18"/>
              </w:rPr>
              <w:t xml:space="preserve">, 1993)</w:t>
            </w:r>
          </w:p>
        </w:tc>
        <w:tc>
          <w:tcPr>
            <w:tcW w:type="dxa" w:w="2385"/>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0.046초</w:t>
            </w:r>
            <w:r>
              <w:rPr>
                <w:sz w:val="18"/>
                <w:szCs w:val="18"/>
              </w:rPr>
              <w:t xml:space="preserve"> (95% 상한 0.065초) — 달성</w:t>
            </w:r>
          </w:p>
        </w:tc>
      </w:tr>
      <w:tr>
        <w:trPr>
          <w:cantSplit/>
          <w:tblHeader w:val="off"/>
        </w:trPr>
        <w:tc>
          <w:tcPr>
            <w:tcW w:type="dxa" w:w="94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물리 피드백 지연 (P95)</w:t>
            </w:r>
          </w:p>
        </w:tc>
        <w:tc>
          <w:tcPr>
            <w:tcW w:type="dxa" w:w="91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b/>
                <w:bCs/>
                <w:sz w:val="18"/>
                <w:szCs w:val="18"/>
              </w:rPr>
              <w:t xml:space="preserve">≤ 2.0초</w:t>
            </w:r>
          </w:p>
        </w:tc>
        <w:tc>
          <w:tcPr>
            <w:tcW w:type="dxa" w:w="2303"/>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판정 확정 → picar·micro:bit가 반응을 시작할 때까지(완료 시점은 함께 기록)</w:t>
            </w:r>
          </w:p>
        </w:tc>
        <w:tc>
          <w:tcPr>
            <w:tcW w:type="dxa" w:w="310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팀이 정한 목표</w:t>
            </w:r>
          </w:p>
        </w:tc>
        <w:tc>
          <w:tcPr>
            <w:tcW w:type="dxa" w:w="2385"/>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반응 시작 </w:t>
            </w:r>
            <w:r>
              <w:rPr>
                <w:b/>
                <w:bCs/>
                <w:sz w:val="18"/>
                <w:szCs w:val="18"/>
              </w:rPr>
              <w:t xml:space="preserve">0.089초</w:t>
            </w:r>
            <w:r>
              <w:rPr>
                <w:sz w:val="18"/>
                <w:szCs w:val="18"/>
              </w:rPr>
              <w:t xml:space="preserve"> (95% 상한 0.262초), 완료 1.089초(picar 주행 제외) — 달성</w:t>
            </w:r>
          </w:p>
        </w:tc>
      </w:tr>
    </w:tbl>
    <w:p>
      <w:pPr>
        <w:spacing w:after="60"/>
      </w:pPr>
    </w:p>
    <w:p>
      <w:pPr>
        <w:spacing w:after="120" w:line="300"/>
      </w:pPr>
      <w:r>
        <w:rPr>
          <w:b/>
          <w:bCs/>
        </w:rPr>
        <w:t xml:space="preserve">정의와 측정 방법</w:t>
      </w:r>
    </w:p>
    <w:p>
      <w:pPr>
        <w:pStyle w:val="ListParagraph"/>
        <w:numPr>
          <w:ilvl w:val="0"/>
          <w:numId w:val="2"/>
        </w:numPr>
        <w:spacing w:after="60" w:line="290"/>
      </w:pPr>
      <w:r>
        <w:t xml:space="preserve">정답률 + 오분류율 + 미판정률 = 100%가 되도록 서로 겹치지 않게 정의했다. 지연은 평균이 아니라 P95(95번째로 느린 값)로 잰다.</w:t>
      </w:r>
    </w:p>
    <w:p>
      <w:pPr>
        <w:pStyle w:val="ListParagraph"/>
        <w:numPr>
          <w:ilvl w:val="0"/>
          <w:numId w:val="2"/>
        </w:numPr>
        <w:spacing w:after="60" w:line="290"/>
      </w:pPr>
      <w:r>
        <w:rPr>
          <w:b/>
          <w:bCs/>
        </w:rPr>
        <w:t xml:space="preserve">판정 성능 5개는 오프라인</w:t>
      </w:r>
      <w:r>
        <w:t xml:space="preserve">(학습에 쓰지 않은 팀원 3명 × 70시도 = 210시도, 2026-09-29 촬영), </w:t>
      </w:r>
      <w:r>
        <w:rPr>
          <w:b/>
          <w:bCs/>
        </w:rPr>
        <w:t xml:space="preserve">지연 2개는 온라인</w:t>
      </w:r>
      <w:r>
        <w:t xml:space="preserve">(모든 장치를 실물로 연결한 91시도, 2026-10-02)으로 쟀다. 측정 규칙은 </w:t>
      </w:r>
      <w:r>
        <w:t xml:space="preserve">16 §5</w:t>
      </w:r>
      <w:r>
        <w:t xml:space="preserve">.</w:t>
      </w:r>
    </w:p>
    <w:p>
      <w:pPr>
        <w:pStyle w:val="ListParagraph"/>
        <w:numPr>
          <w:ilvl w:val="0"/>
          <w:numId w:val="2"/>
        </w:numPr>
        <w:spacing w:after="60" w:line="290"/>
      </w:pPr>
      <w:r>
        <w:rPr>
          <w:b/>
          <w:bCs/>
        </w:rPr>
        <w:t xml:space="preserve">"잠정 달성"</w:t>
      </w:r>
      <w:r>
        <w:t xml:space="preserve">: 점추정은 목표 안이지만 95% 신뢰구간이 목표선에 걸친 것이다. 표본을 늘리면 구간이 좁아진다(치명 오분류 상한을 3% 아래로 내리려면 정지만 약 125시도).</w:t>
      </w:r>
    </w:p>
    <w:p>
      <w:pPr>
        <w:pStyle w:val="ListParagraph"/>
        <w:numPr>
          <w:ilvl w:val="0"/>
          <w:numId w:val="2"/>
        </w:numPr>
        <w:spacing w:after="60" w:line="290"/>
      </w:pPr>
      <w:r>
        <w:rPr>
          <w:b/>
          <w:bCs/>
        </w:rPr>
        <w:t xml:space="preserve">판정 지연의 한계</w:t>
      </w:r>
      <w:r>
        <w:t xml:space="preserve">: 기록값은 마지막 프레임 1장만 잰다. 손을 멈춘 뒤 장치가 반응하기 시작할 때까지는 240fps 슬로모션 7시도로 0.14~0.24초였다 — 1초 안이지만 0.1초 "즉각 반응"은 넘는다(</w:t>
      </w:r>
      <w:r>
        <w:t xml:space="preserve">06 §2-3</w:t>
      </w:r>
      <w:r>
        <w:t xml:space="preserve">).</w:t>
      </w:r>
    </w:p>
    <w:p>
      <w:pPr>
        <w:pStyle w:val="ListParagraph"/>
        <w:numPr>
          <w:ilvl w:val="0"/>
          <w:numId w:val="2"/>
        </w:numPr>
        <w:spacing w:after="60" w:line="290"/>
      </w:pPr>
      <w:r>
        <w:rPr>
          <w:b/>
          <w:bCs/>
        </w:rPr>
        <w:t xml:space="preserve">물리 피드백 기준</w:t>
      </w:r>
      <w:r>
        <w:t xml:space="preserve">: 처음 정의(손 정지 → 가장 늦게 끝나는 장치까지)에는 picar 주행(약 2초 뒤 자동 정지)이 들어가 구조상 2.0초를 넘는다. 그래서 2026-09-30 회의에서 "반응 시작"으로 판정하고 완료를 함께 적기로 했다.</w:t>
      </w:r>
    </w:p>
    <w:p>
      <w:pPr>
        <w:pStyle w:val="ListParagraph"/>
        <w:numPr>
          <w:ilvl w:val="0"/>
          <w:numId w:val="2"/>
        </w:numPr>
        <w:spacing w:after="60" w:line="290"/>
      </w:pPr>
      <w:r>
        <w:rPr>
          <w:b/>
          <w:bCs/>
        </w:rPr>
        <w:t xml:space="preserve">목표값 근거</w:t>
      </w:r>
      <w:r>
        <w:t xml:space="preserve">: 외부 근거가 있는 것은 판정 지연 1.0초뿐이다. 나머지는 계획 단계에서 팀이 정한 목표이며 외부 근거는 없다(</w:t>
      </w:r>
      <w:r>
        <w:t xml:space="preserve">proposals/참고자료 "KPI 목표값 근거"</w:t>
      </w:r>
      <w:r>
        <w:t xml:space="preserve">).</w:t>
      </w:r>
    </w:p>
    <w:p>
      <w:pPr>
        <w:pStyle w:val="Heading2"/>
      </w:pPr>
      <w:r>
        <w:t xml:space="preserve">변경 이력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250"/>
        <w:gridCol w:w="7768"/>
      </w:tblGrid>
      <w:tr>
        <w:trPr>
          <w:cantSplit/>
          <w:tblHeader/>
        </w:trPr>
        <w:tc>
          <w:tcPr>
            <w:tcW w:type="dxa" w:w="620"/>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버전</w:t>
            </w:r>
          </w:p>
        </w:tc>
        <w:tc>
          <w:tcPr>
            <w:tcW w:type="dxa" w:w="1250"/>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날짜</w:t>
            </w:r>
          </w:p>
        </w:tc>
        <w:tc>
          <w:tcPr>
            <w:tcW w:type="dxa" w:w="7768"/>
            <w:tcBorders>
              <w:top w:val="single" w:color="C3C2B7" w:sz="4"/>
              <w:left w:val="single" w:color="C3C2B7" w:sz="4"/>
              <w:bottom w:val="single" w:color="C3C2B7" w:sz="4"/>
              <w:right w:val="single" w:color="C3C2B7" w:sz="4"/>
            </w:tcBorders>
            <w:shd w:fill="F2F1EE" w:color="auto" w:val="clear"/>
            <w:tcMar>
              <w:top w:type="dxa" w:w="50"/>
              <w:left w:type="dxa" w:w="90"/>
              <w:bottom w:type="dxa" w:w="50"/>
              <w:right w:type="dxa" w:w="90"/>
            </w:tcMar>
            <w:vAlign w:val="center"/>
          </w:tcPr>
          <w:p>
            <w:pPr>
              <w:spacing w:after="0" w:line="260"/>
              <w:jc w:val="left"/>
            </w:pPr>
            <w:r>
              <w:rPr>
                <w:b/>
                <w:bCs/>
                <w:sz w:val="18"/>
                <w:szCs w:val="18"/>
              </w:rPr>
              <w:t xml:space="preserve">내용</w:t>
            </w:r>
          </w:p>
        </w:tc>
      </w:tr>
      <w:tr>
        <w:trPr>
          <w:cantSplit/>
          <w:tblHeader w:val="off"/>
        </w:trPr>
        <w:tc>
          <w:tcPr>
            <w:tcW w:type="dxa" w:w="62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v1.0</w:t>
            </w:r>
          </w:p>
        </w:tc>
        <w:tc>
          <w:tcPr>
            <w:tcW w:type="dxa" w:w="1250"/>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2026-10-06</w:t>
            </w:r>
          </w:p>
        </w:tc>
        <w:tc>
          <w:tcPr>
            <w:tcW w:type="dxa" w:w="7768"/>
            <w:tcBorders>
              <w:top w:val="single" w:color="C3C2B7" w:sz="4"/>
              <w:left w:val="single" w:color="C3C2B7" w:sz="4"/>
              <w:bottom w:val="single" w:color="C3C2B7" w:sz="4"/>
              <w:right w:val="single" w:color="C3C2B7" w:sz="4"/>
            </w:tcBorders>
            <w:tcMar>
              <w:top w:type="dxa" w:w="50"/>
              <w:left w:type="dxa" w:w="90"/>
              <w:bottom w:type="dxa" w:w="50"/>
              <w:right w:type="dxa" w:w="90"/>
            </w:tcMar>
            <w:vAlign w:val="center"/>
          </w:tcPr>
          <w:p>
            <w:pPr>
              <w:spacing w:after="0" w:line="260"/>
              <w:jc w:val="left"/>
            </w:pPr>
            <w:r>
              <w:rPr>
                <w:sz w:val="18"/>
                <w:szCs w:val="18"/>
              </w:rPr>
              <w:t xml:space="preserve">송승호 — 최초 작성. 01_프로젝트계획서 v4.3의 추진 배경·범위·목표와 KPI를 문제 정의·구현 범위·숫자 목표로 정리(01은 그대로 둠). QR/바코드 로그인·직군별 분기는 구현하지 않음으로 표기(코드에 없음)</w:t>
            </w:r>
          </w:p>
        </w:tc>
      </w:tr>
    </w:tbl>
    <w:p>
      <w:pPr>
        <w:spacing w:after="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6"/>
        <w:szCs w:val="16"/>
      </w:rPr>
      <w:t>SafeSign PhysicalAI 목표 정의서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start w:val="1"/>
      <w:numFmt w:val="bullet"/>
      <w:lvlText w:val="◦"/>
      <w:lvlJc w:val="left"/>
      <w:pPr>
        <w:ind w:left="800" w:hanging="260"/>
      </w:pPr>
    </w:lvl>
    <w:lvl w:ilvl="2">
      <w:start w:val="1"/>
      <w:numFmt w:val="bullet"/>
      <w:lvlText w:val="▪"/>
      <w:lvlJc w:val="left"/>
      <w:pPr>
        <w:ind w:left="1200" w:hanging="260"/>
      </w:pPr>
    </w:lvl>
  </w:abstractNum>
  <w:abstractNum w:abstractNumId="3" w15:restartNumberingAfterBreak="0">
    <w:multiLevelType w:val="hybridMultilevel"/>
    <w:lvl w:ilvl="0" w:tentative="1">
      <w:start w:val="1"/>
      <w:numFmt w:val="decimal"/>
      <w:lvlText w:val="%1."/>
      <w:lvlJc w:val="left"/>
      <w:pPr>
        <w:ind w:left="400" w:hanging="300"/>
      </w:pPr>
    </w:lvl>
    <w:lvl w:ilvl="1">
      <w:start w:val="1"/>
      <w:numFmt w:val="decimal"/>
      <w:lvlText w:val="%2."/>
      <w:lvlJc w:val="left"/>
      <w:pPr>
        <w:ind w:left="800" w:hanging="300"/>
      </w:pPr>
    </w:lvl>
    <w:lvl w:ilvl="2">
      <w:start w:val="1"/>
      <w:numFmt w:val="decimal"/>
      <w:lvlText w:val="%3."/>
      <w:lvlJc w:val="left"/>
      <w:pPr>
        <w:ind w:left="12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0B0B0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pPr>
      <w:keepNext/>
      <w:spacing w:after="80" w:before="200"/>
      <w:outlineLvl w:val="3"/>
    </w:pPr>
    <w:rPr>
      <w:b/>
      <w:bCs/>
      <w:color w:val="52514E"/>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B0B0B" w:sz="8" w:space="4"/>
      </w:pBdr>
      <w:spacing w:after="200" w:before="360"/>
      <w:outlineLvl w:val="0"/>
    </w:pPr>
    <w:rPr>
      <w:rFonts w:ascii="Malgun Gothic" w:cs="Malgun Gothic" w:eastAsia="Malgun Gothic" w:hAnsi="Malgun Gothic"/>
      <w:b/>
      <w:bCs/>
      <w:sz w:val="32"/>
      <w:szCs w:val="32"/>
    </w:rPr>
  </w:style>
  <w:style w:type="paragraph" w:styleId="Heading2">
    <w:name w:val="Heading 2"/>
    <w:basedOn w:val="Normal"/>
    <w:next w:val="Normal"/>
    <w:qFormat/>
    <w:pPr>
      <w:keepNext/>
      <w:spacing w:after="140" w:before="320"/>
      <w:outlineLvl w:val="1"/>
    </w:pPr>
    <w:rPr>
      <w:rFonts w:ascii="Malgun Gothic" w:cs="Malgun Gothic" w:eastAsia="Malgun Gothic" w:hAnsi="Malgun Gothic"/>
      <w:b/>
      <w:bCs/>
      <w:sz w:val="26"/>
      <w:szCs w:val="26"/>
    </w:rPr>
  </w:style>
  <w:style w:type="paragraph" w:styleId="Heading3">
    <w:name w:val="Heading 3"/>
    <w:basedOn w:val="Normal"/>
    <w:next w:val="Normal"/>
    <w:qFormat/>
    <w:pPr>
      <w:keepNext/>
      <w:spacing w:after="100" w:before="240"/>
      <w:outlineLvl w:val="2"/>
    </w:pPr>
    <w:rPr>
      <w:rFonts w:ascii="Malgun Gothic" w:cs="Malgun Gothic" w:eastAsia="Malgun Gothic" w:hAnsi="Malgun Gothic"/>
      <w:b/>
      <w:bCs/>
      <w:color w:val="52514E"/>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1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목표 정의서</dc:title>
  <dc:creator>김지훈</dc:creator>
  <dc:description>22_목표정의서.md v1.0 를 결과보고서 서식으로 옮김</dc:description>
  <cp:lastModifiedBy>Un-named</cp:lastModifiedBy>
  <cp:revision>1</cp:revision>
  <dcterms:created xsi:type="dcterms:W3CDTF">2026-10-03T13:18:13.074Z</dcterms:created>
  <dcterms:modified xsi:type="dcterms:W3CDTF">2026-10-03T13:18:13.075Z</dcterms:modified>
</cp:coreProperties>
</file>

<file path=docProps/custom.xml><?xml version="1.0" encoding="utf-8"?>
<Properties xmlns="http://schemas.openxmlformats.org/officeDocument/2006/custom-properties" xmlns:vt="http://schemas.openxmlformats.org/officeDocument/2006/docPropsVTypes"/>
</file>