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Group No:</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1"/>
          <w:shd w:fill="auto" w:val="clear"/>
        </w:rPr>
      </w:pPr>
    </w:p>
    <w:p>
      <w:pPr>
        <w:tabs>
          <w:tab w:val="left" w:pos="7000" w:leader="none"/>
        </w:tabs>
        <w:spacing w:before="0" w:after="0" w:line="240"/>
        <w:ind w:right="0" w:left="1240" w:hanging="1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Register No:                                                                                        Name:</w:t>
      </w:r>
    </w:p>
    <w:p>
      <w:pPr>
        <w:tabs>
          <w:tab w:val="left" w:pos="6999" w:leader="none"/>
        </w:tabs>
        <w:spacing w:before="132" w:after="0" w:line="240"/>
        <w:ind w:right="0" w:left="1240" w:hanging="1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1.120010084                                                                                         </w:t>
      </w:r>
      <w:r>
        <w:rPr>
          <w:rFonts w:ascii="Times New Roman" w:hAnsi="Times New Roman" w:cs="Times New Roman" w:eastAsia="Times New Roman"/>
          <w:color w:val="auto"/>
          <w:spacing w:val="0"/>
          <w:position w:val="0"/>
          <w:sz w:val="24"/>
          <w:shd w:fill="auto" w:val="clear"/>
        </w:rPr>
        <w:t xml:space="preserve">P. Leela Sai Pranith</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7"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0" w:after="0" w:line="240"/>
        <w:ind w:right="0" w:left="1993" w:hanging="154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CHARACTERIZATION AND FRACTIONIZATION OF </w:t>
      </w:r>
      <w:r>
        <w:rPr>
          <w:rFonts w:ascii="Times New Roman" w:hAnsi="Times New Roman" w:cs="Times New Roman" w:eastAsia="Times New Roman"/>
          <w:b/>
          <w:i/>
          <w:color w:val="auto"/>
          <w:spacing w:val="0"/>
          <w:position w:val="0"/>
          <w:sz w:val="24"/>
          <w:shd w:fill="auto" w:val="clear"/>
        </w:rPr>
        <w:t xml:space="preserve">COCOS NUCIFERA </w:t>
      </w:r>
      <w:r>
        <w:rPr>
          <w:rFonts w:ascii="Times New Roman" w:hAnsi="Times New Roman" w:cs="Times New Roman" w:eastAsia="Times New Roman"/>
          <w:b/>
          <w:color w:val="auto"/>
          <w:spacing w:val="0"/>
          <w:position w:val="0"/>
          <w:sz w:val="24"/>
          <w:shd w:fill="auto" w:val="clear"/>
        </w:rPr>
        <w:t xml:space="preserve">SHELL FOR ETHANOL PRODUCTION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240" w:hanging="1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of the Guide: </w:t>
      </w:r>
      <w:r>
        <w:rPr>
          <w:rFonts w:ascii="Times New Roman" w:hAnsi="Times New Roman" w:cs="Times New Roman" w:eastAsia="Times New Roman"/>
          <w:color w:val="auto"/>
          <w:spacing w:val="0"/>
          <w:position w:val="0"/>
          <w:sz w:val="24"/>
          <w:shd w:fill="auto" w:val="clear"/>
        </w:rPr>
        <w:t xml:space="preserve">Dr.Kiran Babu Uppuluri</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 w:after="0" w:line="240"/>
        <w:ind w:right="0" w:left="1240" w:hanging="124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Outline of Work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Agricultural wastes have become an increasing concern in recent years. C</w:t>
      </w:r>
      <w:r>
        <w:rPr>
          <w:rFonts w:ascii="Times New Roman" w:hAnsi="Times New Roman" w:cs="Times New Roman" w:eastAsia="Times New Roman"/>
          <w:b/>
          <w:i/>
          <w:color w:val="auto"/>
          <w:spacing w:val="0"/>
          <w:position w:val="0"/>
          <w:sz w:val="24"/>
          <w:shd w:fill="auto" w:val="clear"/>
        </w:rPr>
        <w:t xml:space="preserve">ocos nucifera </w:t>
      </w:r>
      <w:r>
        <w:rPr>
          <w:rFonts w:ascii="Times New Roman" w:hAnsi="Times New Roman" w:cs="Times New Roman" w:eastAsia="Times New Roman"/>
          <w:color w:val="auto"/>
          <w:spacing w:val="0"/>
          <w:position w:val="0"/>
          <w:sz w:val="24"/>
          <w:shd w:fill="auto" w:val="clear"/>
        </w:rPr>
        <w:t xml:space="preserve">(coconut) shell (CS) is one of the major agricultural waste produced in India. </w:t>
      </w:r>
      <w:r>
        <w:rPr>
          <w:rFonts w:ascii="Times New Roman" w:hAnsi="Times New Roman" w:cs="Times New Roman" w:eastAsia="Times New Roman"/>
          <w:b/>
          <w:i/>
          <w:color w:val="auto"/>
          <w:spacing w:val="0"/>
          <w:position w:val="0"/>
          <w:sz w:val="24"/>
          <w:shd w:fill="auto" w:val="clear"/>
        </w:rPr>
        <w:t xml:space="preserve">Cocos nucifera</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 has used for several beneficial purposes,as a major feed stock for energy production, charcol for activated carbon and eco-friendly utilization of CS has always been a challange for scientific apllications and they may also create some environmental and health issues.The present study deals with the characterization of </w:t>
      </w:r>
      <w:r>
        <w:rPr>
          <w:rFonts w:ascii="Times New Roman" w:hAnsi="Times New Roman" w:cs="Times New Roman" w:eastAsia="Times New Roman"/>
          <w:b/>
          <w:i/>
          <w:color w:val="auto"/>
          <w:spacing w:val="0"/>
          <w:position w:val="0"/>
          <w:sz w:val="24"/>
          <w:shd w:fill="auto" w:val="clear"/>
        </w:rPr>
        <w:t xml:space="preserve">Cocos nucifera</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shells collected from nearest farm house.</w:t>
      </w:r>
      <w:r>
        <w:rPr>
          <w:rFonts w:ascii="Times New Roman" w:hAnsi="Times New Roman" w:cs="Times New Roman" w:eastAsia="Times New Roman"/>
          <w:color w:val="auto"/>
          <w:spacing w:val="0"/>
          <w:position w:val="0"/>
          <w:sz w:val="24"/>
          <w:shd w:fill="auto" w:val="clear"/>
        </w:rPr>
        <w:t xml:space="preserve">The collected shells are subjected to different pretreatment methods include acid and alkaline to investigate the </w:t>
      </w:r>
      <w:r>
        <w:rPr>
          <w:rFonts w:ascii="Times New Roman" w:hAnsi="Times New Roman" w:cs="Times New Roman" w:eastAsia="Times New Roman"/>
          <w:b/>
          <w:i/>
          <w:color w:val="0E101A"/>
          <w:spacing w:val="0"/>
          <w:position w:val="0"/>
          <w:sz w:val="24"/>
          <w:shd w:fill="auto" w:val="clear"/>
        </w:rPr>
        <w:t xml:space="preserve">Cocos nucifera </w:t>
      </w:r>
      <w:r>
        <w:rPr>
          <w:rFonts w:ascii="Times New Roman" w:hAnsi="Times New Roman" w:cs="Times New Roman" w:eastAsia="Times New Roman"/>
          <w:color w:val="auto"/>
          <w:spacing w:val="0"/>
          <w:position w:val="0"/>
          <w:sz w:val="24"/>
          <w:shd w:fill="auto" w:val="clear"/>
        </w:rPr>
        <w:t xml:space="preserve">shells to fractionates into cellulose, hemicelluloses, and lignin. Subsequently, the characteristics of the biomass, cellulose, halocellulose, and nanocellulose will be determined by utilizing X-ray diffraction (XRD), Nuclear magnetic resonance (NMR) and thermogravimetric analysis (TGA) and the calorific value will be determined by the bomb calorimeter. The functional group of biomass, cellulose, and nanocellulose is to be determined using Fourier transform infrared spectroscopy (FT-IR), morphological studies will be viewed using Scanning Electron Microscopy (SEM) and Transmission Electron Microscopy (TEM). The proximate analysis for the biomass is to be done for the moisture content, carbon value, ash value, and the volatile analysis. The ultimate analysis is to be done for the biomass for the testing of minerals and C, N, O, H analysis. The fractionates are  further used for bioethanol production using co-fermentation of </w:t>
      </w:r>
      <w:r>
        <w:rPr>
          <w:rFonts w:ascii="Times New Roman" w:hAnsi="Times New Roman" w:cs="Times New Roman" w:eastAsia="Times New Roman"/>
          <w:b/>
          <w:i/>
          <w:color w:val="0E101A"/>
          <w:spacing w:val="0"/>
          <w:position w:val="0"/>
          <w:sz w:val="24"/>
          <w:shd w:fill="auto" w:val="clear"/>
        </w:rPr>
        <w:t xml:space="preserve">Cellulomonas uda</w:t>
      </w:r>
      <w:r>
        <w:rPr>
          <w:rFonts w:ascii="Times New Roman" w:hAnsi="Times New Roman" w:cs="Times New Roman" w:eastAsia="Times New Roman"/>
          <w:color w:val="auto"/>
          <w:spacing w:val="0"/>
          <w:position w:val="0"/>
          <w:sz w:val="24"/>
          <w:shd w:fill="auto" w:val="clear"/>
        </w:rPr>
        <w:t xml:space="preserve"> (NCIM 2353) and </w:t>
      </w:r>
      <w:r>
        <w:rPr>
          <w:rFonts w:ascii="Times New Roman" w:hAnsi="Times New Roman" w:cs="Times New Roman" w:eastAsia="Times New Roman"/>
          <w:b/>
          <w:i/>
          <w:color w:val="0E101A"/>
          <w:spacing w:val="0"/>
          <w:position w:val="0"/>
          <w:sz w:val="24"/>
          <w:shd w:fill="auto" w:val="clear"/>
        </w:rPr>
        <w:t xml:space="preserve">Zymomonas mobilis</w:t>
      </w:r>
      <w:r>
        <w:rPr>
          <w:rFonts w:ascii="Times New Roman" w:hAnsi="Times New Roman" w:cs="Times New Roman" w:eastAsia="Times New Roman"/>
          <w:color w:val="auto"/>
          <w:spacing w:val="0"/>
          <w:position w:val="0"/>
          <w:sz w:val="24"/>
          <w:shd w:fill="auto" w:val="clear"/>
        </w:rPr>
        <w:t xml:space="preserve"> (MTCC 91 ) </w:t>
      </w:r>
      <w:r>
        <w:rPr>
          <w:rFonts w:ascii="Times New Roman" w:hAnsi="Times New Roman" w:cs="Times New Roman" w:eastAsia="Times New Roman"/>
          <w:b/>
          <w:i/>
          <w:color w:val="0E101A"/>
          <w:spacing w:val="0"/>
          <w:position w:val="0"/>
          <w:sz w:val="24"/>
          <w:shd w:fill="auto" w:val="clear"/>
        </w:rPr>
        <w:t xml:space="preserve">Cellulomonas uda </w:t>
      </w:r>
      <w:r>
        <w:rPr>
          <w:rFonts w:ascii="Times New Roman" w:hAnsi="Times New Roman" w:cs="Times New Roman" w:eastAsia="Times New Roman"/>
          <w:color w:val="0E101A"/>
          <w:spacing w:val="0"/>
          <w:position w:val="0"/>
          <w:sz w:val="24"/>
          <w:shd w:fill="auto" w:val="clear"/>
        </w:rPr>
        <w:t xml:space="preserve">acts on the fractionates to produce fermentable sugars and those fermentable sugars will be fermented to bioethanol by</w:t>
      </w:r>
      <w:r>
        <w:rPr>
          <w:rFonts w:ascii="Times New Roman" w:hAnsi="Times New Roman" w:cs="Times New Roman" w:eastAsia="Times New Roman"/>
          <w:b/>
          <w:i/>
          <w:color w:val="0E101A"/>
          <w:spacing w:val="0"/>
          <w:position w:val="0"/>
          <w:sz w:val="24"/>
          <w:shd w:fill="auto" w:val="clear"/>
        </w:rPr>
        <w:t xml:space="preserve"> Zymomonas mobilis </w:t>
      </w:r>
      <w:r>
        <w:rPr>
          <w:rFonts w:ascii="Times New Roman" w:hAnsi="Times New Roman" w:cs="Times New Roman" w:eastAsia="Times New Roman"/>
          <w:color w:val="auto"/>
          <w:spacing w:val="0"/>
          <w:position w:val="0"/>
          <w:sz w:val="24"/>
          <w:shd w:fill="auto" w:val="clear"/>
        </w:rPr>
        <w:t xml:space="preserve">.</w:t>
      </w:r>
    </w:p>
    <w:p>
      <w:pPr>
        <w:spacing w:before="10"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0"/>
          <w:shd w:fill="auto" w:val="clear"/>
        </w:rPr>
        <w:t xml:space="preserve">Keywords: </w:t>
      </w:r>
      <w:r>
        <w:rPr>
          <w:rFonts w:ascii="Times New Roman" w:hAnsi="Times New Roman" w:cs="Times New Roman" w:eastAsia="Times New Roman"/>
          <w:b/>
          <w:i/>
          <w:color w:val="auto"/>
          <w:spacing w:val="0"/>
          <w:position w:val="0"/>
          <w:sz w:val="24"/>
          <w:shd w:fill="auto" w:val="clear"/>
        </w:rPr>
        <w:t xml:space="preserve">Sterculia foetida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i/>
          <w:color w:val="auto"/>
          <w:spacing w:val="0"/>
          <w:position w:val="0"/>
          <w:sz w:val="24"/>
          <w:shd w:fill="auto" w:val="clear"/>
        </w:rPr>
        <w:t xml:space="preserve"> Cellulomonas uda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i/>
          <w:color w:val="auto"/>
          <w:spacing w:val="0"/>
          <w:position w:val="0"/>
          <w:sz w:val="24"/>
          <w:shd w:fill="auto" w:val="clear"/>
        </w:rPr>
        <w:t xml:space="preserve"> Zymomonas mobilis,</w:t>
      </w:r>
      <w:r>
        <w:rPr>
          <w:rFonts w:ascii="Times New Roman" w:hAnsi="Times New Roman" w:cs="Times New Roman" w:eastAsia="Times New Roman"/>
          <w:color w:val="auto"/>
          <w:spacing w:val="0"/>
          <w:position w:val="0"/>
          <w:sz w:val="24"/>
          <w:shd w:fill="auto" w:val="clear"/>
        </w:rPr>
        <w:t xml:space="preserve">proximate analysis, ultimate analysis, bioethanol production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240" w:hanging="1240"/>
        <w:jc w:val="both"/>
        <w:rPr>
          <w:rFonts w:ascii="Times New Roman" w:hAnsi="Times New Roman" w:cs="Times New Roman" w:eastAsia="Times New Roman"/>
          <w:i/>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2"/>
          <w:shd w:fill="auto" w:val="clear"/>
        </w:rPr>
      </w:pPr>
    </w:p>
    <w:p>
      <w:pPr>
        <w:spacing w:before="191" w:after="0" w:line="240"/>
        <w:ind w:right="0" w:left="12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p>
    <w:p>
      <w:pPr>
        <w:tabs>
          <w:tab w:val="left" w:pos="6999" w:leader="none"/>
        </w:tabs>
        <w:spacing w:before="137" w:after="0" w:line="240"/>
        <w:ind w:right="0" w:left="12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Signature of</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 Student                                  Signature of Guide with</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77" w:after="0" w:line="240"/>
        <w:ind w:right="0" w:left="1240" w:firstLine="0"/>
        <w:jc w:val="left"/>
        <w:rPr>
          <w:rFonts w:ascii="Times New Roman" w:hAnsi="Times New Roman" w:cs="Times New Roman" w:eastAsia="Times New Roman"/>
          <w:b/>
          <w:color w:val="auto"/>
          <w:spacing w:val="0"/>
          <w:position w:val="0"/>
          <w:sz w:val="32"/>
          <w:shd w:fill="auto" w:val="clear"/>
        </w:rPr>
      </w:pPr>
    </w:p>
    <w:p>
      <w:pPr>
        <w:spacing w:before="77" w:after="0" w:line="240"/>
        <w:ind w:right="0" w:left="124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Review Meeting :</w:t>
      </w:r>
    </w:p>
    <w:p>
      <w:pPr>
        <w:spacing w:before="3" w:after="0" w:line="240"/>
        <w:ind w:right="0" w:left="0" w:firstLine="0"/>
        <w:jc w:val="left"/>
        <w:rPr>
          <w:rFonts w:ascii="Times New Roman" w:hAnsi="Times New Roman" w:cs="Times New Roman" w:eastAsia="Times New Roman"/>
          <w:b/>
          <w:color w:val="auto"/>
          <w:spacing w:val="0"/>
          <w:position w:val="0"/>
          <w:sz w:val="16"/>
          <w:shd w:fill="auto" w:val="clear"/>
        </w:rPr>
      </w:pPr>
    </w:p>
    <w:tbl>
      <w:tblPr/>
      <w:tblGrid>
        <w:gridCol w:w="1258"/>
        <w:gridCol w:w="1376"/>
        <w:gridCol w:w="7124"/>
        <w:gridCol w:w="1705"/>
      </w:tblGrid>
      <w:tr>
        <w:trPr>
          <w:trHeight w:val="870" w:hRule="auto"/>
          <w:jc w:val="left"/>
        </w:trPr>
        <w:tc>
          <w:tcPr>
            <w:tcW w:w="12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0" w:after="0" w:line="240"/>
              <w:ind w:right="136" w:left="144"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Review</w:t>
            </w:r>
          </w:p>
        </w:tc>
        <w:tc>
          <w:tcPr>
            <w:tcW w:w="13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7" w:after="0" w:line="240"/>
              <w:ind w:right="95" w:left="404" w:hanging="286"/>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Reviewer’s name</w:t>
            </w:r>
          </w:p>
        </w:tc>
        <w:tc>
          <w:tcPr>
            <w:tcW w:w="71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0" w:after="0" w:line="240"/>
              <w:ind w:right="2549" w:left="2557"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Specific Comments</w:t>
            </w:r>
          </w:p>
        </w:tc>
        <w:tc>
          <w:tcPr>
            <w:tcW w:w="17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8" w:after="0" w:line="240"/>
              <w:ind w:right="437" w:left="105"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Reviewer’s Signature with date</w:t>
            </w:r>
          </w:p>
        </w:tc>
      </w:tr>
      <w:tr>
        <w:trPr>
          <w:trHeight w:val="1430" w:hRule="auto"/>
          <w:jc w:val="left"/>
        </w:trPr>
        <w:tc>
          <w:tcPr>
            <w:tcW w:w="12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136" w:left="135"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First</w:t>
            </w:r>
          </w:p>
        </w:tc>
        <w:tc>
          <w:tcPr>
            <w:tcW w:w="13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81" w:hRule="auto"/>
          <w:jc w:val="left"/>
        </w:trPr>
        <w:tc>
          <w:tcPr>
            <w:tcW w:w="12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10" w:after="0" w:line="240"/>
              <w:ind w:right="0" w:left="0" w:firstLine="0"/>
              <w:jc w:val="left"/>
              <w:rPr>
                <w:rFonts w:ascii="Times New Roman" w:hAnsi="Times New Roman" w:cs="Times New Roman" w:eastAsia="Times New Roman"/>
                <w:b/>
                <w:color w:val="auto"/>
                <w:spacing w:val="0"/>
                <w:position w:val="0"/>
                <w:sz w:val="21"/>
                <w:shd w:fill="auto" w:val="clear"/>
              </w:rPr>
            </w:pPr>
          </w:p>
          <w:p>
            <w:pPr>
              <w:spacing w:before="0" w:after="0" w:line="240"/>
              <w:ind w:right="136" w:left="143"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First</w:t>
            </w:r>
          </w:p>
        </w:tc>
        <w:tc>
          <w:tcPr>
            <w:tcW w:w="13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92" w:hRule="auto"/>
          <w:jc w:val="left"/>
        </w:trPr>
        <w:tc>
          <w:tcPr>
            <w:tcW w:w="12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136" w:left="143"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First</w:t>
            </w:r>
          </w:p>
        </w:tc>
        <w:tc>
          <w:tcPr>
            <w:tcW w:w="13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38" w:hRule="auto"/>
          <w:jc w:val="left"/>
        </w:trPr>
        <w:tc>
          <w:tcPr>
            <w:tcW w:w="12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230" w:after="0" w:line="240"/>
              <w:ind w:right="136" w:left="141"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Second</w:t>
            </w:r>
          </w:p>
        </w:tc>
        <w:tc>
          <w:tcPr>
            <w:tcW w:w="13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30" w:hRule="auto"/>
          <w:jc w:val="left"/>
        </w:trPr>
        <w:tc>
          <w:tcPr>
            <w:tcW w:w="12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136" w:left="141"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Second</w:t>
            </w:r>
          </w:p>
        </w:tc>
        <w:tc>
          <w:tcPr>
            <w:tcW w:w="13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32" w:hRule="auto"/>
          <w:jc w:val="left"/>
        </w:trPr>
        <w:tc>
          <w:tcPr>
            <w:tcW w:w="12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136" w:left="141"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Second</w:t>
            </w:r>
          </w:p>
        </w:tc>
        <w:tc>
          <w:tcPr>
            <w:tcW w:w="137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8" w:after="0" w:line="240"/>
        <w:ind w:right="0" w:left="0" w:firstLine="0"/>
        <w:jc w:val="left"/>
        <w:rPr>
          <w:rFonts w:ascii="Times New Roman" w:hAnsi="Times New Roman" w:cs="Times New Roman" w:eastAsia="Times New Roman"/>
          <w:b/>
          <w:color w:val="auto"/>
          <w:spacing w:val="0"/>
          <w:position w:val="0"/>
          <w:sz w:val="41"/>
          <w:shd w:fill="auto" w:val="clear"/>
        </w:rPr>
      </w:pPr>
    </w:p>
    <w:p>
      <w:pPr>
        <w:spacing w:before="0" w:after="0" w:line="360"/>
        <w:ind w:right="7184" w:left="12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After completion of Review 2: Signature of the Guide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