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D039B2" w14:textId="77777777" w:rsidR="00B53CCE" w:rsidRPr="00B53CCE" w:rsidRDefault="00B53CCE" w:rsidP="00B53CCE">
      <w:pPr>
        <w:rPr>
          <w:rFonts w:ascii="Times New Roman" w:hAnsi="Times New Roman" w:cs="Times New Roman"/>
          <w:b/>
          <w:lang w:val="vi-VN"/>
        </w:rPr>
      </w:pPr>
    </w:p>
    <w:p w14:paraId="1942447F" w14:textId="77777777" w:rsidR="00B53CCE" w:rsidRPr="0025103D" w:rsidRDefault="00B53CCE" w:rsidP="00B53CCE">
      <w:pPr>
        <w:jc w:val="center"/>
        <w:rPr>
          <w:rFonts w:ascii="Times New Roman" w:hAnsi="Times New Roman" w:cs="Times New Roman"/>
          <w:b/>
          <w:sz w:val="26"/>
          <w:szCs w:val="26"/>
          <w:lang w:val="vi-VN"/>
        </w:rPr>
      </w:pPr>
      <w:r w:rsidRPr="0025103D">
        <w:rPr>
          <w:rFonts w:ascii="Times New Roman" w:hAnsi="Times New Roman" w:cs="Times New Roman"/>
          <w:b/>
          <w:sz w:val="26"/>
          <w:szCs w:val="26"/>
          <w:lang w:val="vi-VN"/>
        </w:rPr>
        <w:t>QUY CHẾ BẢO ĐẢM AN NINH MẠNG ĐỐI VỚI HỆ THỐNG THÔNG TIN</w:t>
      </w:r>
    </w:p>
    <w:p w14:paraId="1E4A8605" w14:textId="23BC8C47" w:rsidR="00B53CCE" w:rsidRPr="0025103D" w:rsidRDefault="00B53CCE" w:rsidP="00B53CCE">
      <w:pPr>
        <w:jc w:val="center"/>
        <w:rPr>
          <w:rFonts w:ascii="Times New Roman" w:hAnsi="Times New Roman" w:cs="Times New Roman"/>
          <w:b/>
          <w:sz w:val="26"/>
          <w:szCs w:val="26"/>
        </w:rPr>
      </w:pPr>
      <w:r w:rsidRPr="0025103D">
        <w:rPr>
          <w:rFonts w:ascii="Times New Roman" w:hAnsi="Times New Roman" w:cs="Times New Roman"/>
          <w:b/>
          <w:sz w:val="26"/>
          <w:szCs w:val="26"/>
        </w:rPr>
        <w:t>(Ban hành kèm theo Quyết định số ……/QĐ-</w:t>
      </w:r>
      <w:r w:rsidR="00337C53">
        <w:rPr>
          <w:rFonts w:ascii="Times New Roman" w:hAnsi="Times New Roman" w:cs="Times New Roman"/>
          <w:b/>
          <w:sz w:val="26"/>
          <w:szCs w:val="26"/>
        </w:rPr>
        <w:t>BVĐK</w:t>
      </w:r>
      <w:r w:rsidRPr="0025103D">
        <w:rPr>
          <w:rFonts w:ascii="Times New Roman" w:hAnsi="Times New Roman" w:cs="Times New Roman"/>
          <w:b/>
          <w:sz w:val="26"/>
          <w:szCs w:val="26"/>
        </w:rPr>
        <w:t xml:space="preserve">KVTL ngày …… tháng …… năm 2026 của Giám đốc </w:t>
      </w:r>
      <w:r w:rsidR="00AE538E">
        <w:rPr>
          <w:rFonts w:ascii="Times New Roman" w:hAnsi="Times New Roman" w:cs="Times New Roman"/>
          <w:b/>
          <w:sz w:val="26"/>
          <w:szCs w:val="26"/>
        </w:rPr>
        <w:t>Bệnh viện Đa khoa</w:t>
      </w:r>
      <w:r w:rsidRPr="0025103D">
        <w:rPr>
          <w:rFonts w:ascii="Times New Roman" w:hAnsi="Times New Roman" w:cs="Times New Roman"/>
          <w:b/>
          <w:sz w:val="26"/>
          <w:szCs w:val="26"/>
        </w:rPr>
        <w:t xml:space="preserve"> khu vực Thới Lai)</w:t>
      </w:r>
    </w:p>
    <w:p w14:paraId="2C04250A" w14:textId="77777777" w:rsidR="00B53CCE" w:rsidRPr="00B53CCE" w:rsidRDefault="00B53CCE" w:rsidP="00B53CCE">
      <w:pPr>
        <w:rPr>
          <w:rFonts w:ascii="Times New Roman" w:hAnsi="Times New Roman" w:cs="Times New Roman"/>
          <w:b/>
        </w:rPr>
      </w:pPr>
    </w:p>
    <w:p w14:paraId="360DC574"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 Phạm vi điều chỉnh và đối tượng áp dụng</w:t>
      </w:r>
    </w:p>
    <w:p w14:paraId="495CBE4B" w14:textId="20EFE395"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Quy chế này quy định nguyên tắc, trách nhiệm, biện pháp quản lý và yêu cầu tổ chức thực hiện nhằm bảo đảm an ninh mạng, an ninh thông tin, an ninh dữ liệu và an toàn hệ thống thông tin theo cấp độ đối với Hệ thống thông tin phục vụ hoạt động của </w:t>
      </w:r>
      <w:r w:rsidR="00AE538E">
        <w:rPr>
          <w:rFonts w:ascii="Times New Roman" w:hAnsi="Times New Roman" w:cs="Times New Roman"/>
          <w:sz w:val="26"/>
          <w:szCs w:val="26"/>
        </w:rPr>
        <w:t>Bệnh viện Đa khoa</w:t>
      </w:r>
      <w:r w:rsidRPr="0025103D">
        <w:rPr>
          <w:rFonts w:ascii="Times New Roman" w:hAnsi="Times New Roman" w:cs="Times New Roman"/>
          <w:sz w:val="26"/>
          <w:szCs w:val="26"/>
        </w:rPr>
        <w:t xml:space="preserve"> khu vực Thới Lai, sau đây gọi tắt là Hệ thống.</w:t>
      </w:r>
    </w:p>
    <w:p w14:paraId="05FD2435" w14:textId="5563F6B1"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2. Phạm vi Hệ thống gồm 02 đường kết nối Internet; mạng LAN/HIS 192.168.1.x; mạng không dây; máy chủ, trong đó có SERVER2/HIS 192.168.1.2; thiết bị mạng, thiết bị đầu cuối, phương tiện lưu trữ, tài khoản, cơ sở dữ liệu, nhật ký, phần mềm và dịch vụ thuộc quyền quản lý của </w:t>
      </w:r>
      <w:r w:rsidR="00AE538E">
        <w:rPr>
          <w:rFonts w:ascii="Times New Roman" w:hAnsi="Times New Roman" w:cs="Times New Roman"/>
          <w:sz w:val="26"/>
          <w:szCs w:val="26"/>
        </w:rPr>
        <w:t>Bệnh viện</w:t>
      </w:r>
      <w:r w:rsidRPr="0025103D">
        <w:rPr>
          <w:rFonts w:ascii="Times New Roman" w:hAnsi="Times New Roman" w:cs="Times New Roman"/>
          <w:sz w:val="26"/>
          <w:szCs w:val="26"/>
        </w:rPr>
        <w:t>. Mạng camera, website, EMR và các dịch vụ thuê ngoài được quản lý tại điểm kết nối; phạm vi kỹ thuật cụ thể thực hiện theo Hồ sơ đề xuất cấp độ được phê duyệt.</w:t>
      </w:r>
    </w:p>
    <w:p w14:paraId="5B62BA60" w14:textId="2E5A92B6"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3. Các hệ thống dùng chung, website, EMR, hosting hoặc dịch vụ do cơ quan cấp trên hay nhà cung cấp quản lý không đương nhiên thuộc phạm vi quản trị hạ tầng của </w:t>
      </w:r>
      <w:r w:rsidR="00AE538E">
        <w:rPr>
          <w:rFonts w:ascii="Times New Roman" w:hAnsi="Times New Roman" w:cs="Times New Roman"/>
          <w:sz w:val="26"/>
          <w:szCs w:val="26"/>
        </w:rPr>
        <w:t>đơn vị</w:t>
      </w:r>
      <w:r w:rsidRPr="0025103D">
        <w:rPr>
          <w:rFonts w:ascii="Times New Roman" w:hAnsi="Times New Roman" w:cs="Times New Roman"/>
          <w:sz w:val="26"/>
          <w:szCs w:val="26"/>
        </w:rPr>
        <w:t xml:space="preserve">.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quản lý người sử dụng, thiết bị truy cập, dữ liệu được giao, tài khoản, điểm kết nối và phối hợp xử lý sự cố theo hợp đồng, thỏa thuận hoặc quy định của chủ quản tương ứng.</w:t>
      </w:r>
    </w:p>
    <w:p w14:paraId="7594ECC2" w14:textId="66BE312D"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4. Đối tượng áp dụng gồm Ban Giám đốc;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Tổ Công nghệ thông tin; Phòng Tổ chức - Hành chính; Phòng Tài chính - Kế toán; các khoa, phòng</w:t>
      </w:r>
      <w:r w:rsidRPr="00D570B1">
        <w:rPr>
          <w:rFonts w:ascii="Times New Roman" w:hAnsi="Times New Roman" w:cs="Times New Roman"/>
          <w:sz w:val="26"/>
          <w:szCs w:val="26"/>
        </w:rPr>
        <w:t>;</w:t>
      </w:r>
      <w:r w:rsidRPr="000B6CA9">
        <w:rPr>
          <w:rFonts w:ascii="Times New Roman" w:hAnsi="Times New Roman" w:cs="Times New Roman"/>
          <w:color w:val="FF0000"/>
          <w:sz w:val="26"/>
          <w:szCs w:val="26"/>
        </w:rPr>
        <w:t xml:space="preserve"> </w:t>
      </w:r>
      <w:r w:rsidRPr="0025103D">
        <w:rPr>
          <w:rFonts w:ascii="Times New Roman" w:hAnsi="Times New Roman" w:cs="Times New Roman"/>
          <w:sz w:val="26"/>
          <w:szCs w:val="26"/>
        </w:rPr>
        <w:t>viên chức, người lao động; tổ chức, cá nhân cung cấp, quản trị, vận hành, bảo trì hoặc được phép truy cập, xử lý dữ liệu của Hệ thống.</w:t>
      </w:r>
    </w:p>
    <w:p w14:paraId="6D4BC04A"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2. Giải thích từ ngữ</w:t>
      </w:r>
    </w:p>
    <w:p w14:paraId="0E1CD3CB"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Các thuật ngữ an ninh mạng, hệ thống thông tin, chủ quản hệ thống thông tin, đơn vị vận hành, đơn vị chuyên trách về an ninh mạng, rủi ro an ninh mạng, dữ liệu quan trọng và sự cố an ninh mạng được hiểu theo Luật An ninh mạng số 116/2025/QH15, Nghị định số 331/2026/NĐ-CP và TCVN 14423:2026.</w:t>
      </w:r>
    </w:p>
    <w:p w14:paraId="02F5BE6F" w14:textId="5B3E667A" w:rsidR="00B53CCE" w:rsidRPr="00C03833" w:rsidRDefault="00B53CCE" w:rsidP="004C4771">
      <w:pPr>
        <w:jc w:val="both"/>
        <w:rPr>
          <w:rFonts w:ascii="Times New Roman" w:hAnsi="Times New Roman" w:cs="Times New Roman"/>
          <w:color w:val="FF0000"/>
          <w:sz w:val="26"/>
          <w:szCs w:val="26"/>
        </w:rPr>
      </w:pPr>
      <w:r w:rsidRPr="0025103D">
        <w:rPr>
          <w:rFonts w:ascii="Times New Roman" w:hAnsi="Times New Roman" w:cs="Times New Roman"/>
          <w:sz w:val="26"/>
          <w:szCs w:val="26"/>
        </w:rPr>
        <w:t xml:space="preserve">2. </w:t>
      </w:r>
      <w:r w:rsidR="00AE538E">
        <w:rPr>
          <w:rFonts w:ascii="Times New Roman" w:hAnsi="Times New Roman" w:cs="Times New Roman"/>
          <w:sz w:val="26"/>
          <w:szCs w:val="26"/>
        </w:rPr>
        <w:t>Bệnh viện Đa khoa</w:t>
      </w:r>
      <w:r w:rsidRPr="0025103D">
        <w:rPr>
          <w:rFonts w:ascii="Times New Roman" w:hAnsi="Times New Roman" w:cs="Times New Roman"/>
          <w:sz w:val="26"/>
          <w:szCs w:val="26"/>
        </w:rPr>
        <w:t xml:space="preserve"> khu vực Thới Lai là đơn vị vận hành Hệ thống trong phạm vi được giao;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là đầu mối tham mưu, Tổ Công nghệ thông tin trực tiếp quản trị và vận hành kỹ thuật theo quyết định phân công. </w:t>
      </w:r>
      <w:r w:rsidRPr="00C03833">
        <w:rPr>
          <w:rFonts w:ascii="Times New Roman" w:hAnsi="Times New Roman" w:cs="Times New Roman"/>
          <w:color w:val="FF0000"/>
          <w:sz w:val="26"/>
          <w:szCs w:val="26"/>
        </w:rPr>
        <w:t xml:space="preserve">Chủ quản Hệ thống và đơn vị </w:t>
      </w:r>
      <w:r w:rsidRPr="00C03833">
        <w:rPr>
          <w:rFonts w:ascii="Times New Roman" w:hAnsi="Times New Roman" w:cs="Times New Roman"/>
          <w:color w:val="FF0000"/>
          <w:sz w:val="26"/>
          <w:szCs w:val="26"/>
        </w:rPr>
        <w:lastRenderedPageBreak/>
        <w:t>chuyên trách về an ninh mạng của chủ quản phải được xác định bằng quyết định đầu tư, văn bản giao quản lý hoặc văn bản chỉ định của cấp có thẩm quyền theo Điều 4, Điều 18 và Điều 31 Nghị định số 331/2026/NĐ-CP.</w:t>
      </w:r>
    </w:p>
    <w:p w14:paraId="289757D5"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Tài khoản đặc quyền là tài khoản có quyền quản trị thiết bị mạng, thiết bị bảo mật, hệ điều hành, ứng dụng, cơ sở dữ liệu, sao lưu hoặc quyền thay đổi cấu hình ảnh hưởng đến Hệ thống.</w:t>
      </w:r>
    </w:p>
    <w:p w14:paraId="51114000"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Thay đổi Hệ thống là hoạt động cài đặt, nâng cấp, sửa đổi cấu hình, kết nối, tích hợp, thay thế, di chuyển, mở rộng hoặc loại bỏ thành phần có thể ảnh hưởng đến chức năng, hiệu năng hoặc an ninh của Hệ thống.</w:t>
      </w:r>
    </w:p>
    <w:p w14:paraId="1DD124A2"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5. Bằng chứng vận hành là phiếu, biên bản, nhật ký, báo cáo, ảnh chụp cấu hình, tệp xuất log, xác nhận điện tử hoặc tài liệu tương đương chứng minh yêu cầu đã được thực hiện và kiểm tra.</w:t>
      </w:r>
    </w:p>
    <w:p w14:paraId="7B770C27"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3. Mục tiêu và nguyên tắc bảo đảm</w:t>
      </w:r>
    </w:p>
    <w:p w14:paraId="211A21F1"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Bảo vệ tính bảo mật, tính nguyên vẹn và tính khả dụng của Hệ thống và dữ liệu; chủ động phòng ngừa, phát hiện, ngăn chặn, xử lý, phục hồi và rút kinh nghiệm từ nguy cơ, sự cố.</w:t>
      </w:r>
    </w:p>
    <w:p w14:paraId="0294D214"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Bảo đảm an ninh mạng, an toàn thông tin được thực hiện thường xuyên, liên tục, theo cấp độ và theo rủi ro trong toàn bộ vòng đời Hệ thống.</w:t>
      </w:r>
    </w:p>
    <w:p w14:paraId="224BED3C"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Quyền truy cập được cấp theo nguyên tắc tối thiểu cần thiết, đúng người, đúng nhiệm vụ, đúng thời hạn; ưu tiên tách người đề nghị, người phê duyệt, người thực hiện và người kiểm tra.</w:t>
      </w:r>
    </w:p>
    <w:p w14:paraId="55D8D17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Thay đổi cấu hình, truy cập quản trị, sao lưu, phục hồi, xử lý sự cố và hoạt động của nhà cung cấp phải được phê duyệt theo thẩm quyền, ghi nhận và lưu bằng chứng.</w:t>
      </w:r>
    </w:p>
    <w:p w14:paraId="79E8BBB0"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5. Biện pháp ghi trong Hồ sơ đề xuất cấp độ chỉ được xác nhận là đã triển khai khi có cấu hình, biên bản kiểm tra hoặc bằng chứng tương đương; biện pháp chưa có phải ghi là phương án/lộ trình, không ghi là hiện trạng đáp ứng.</w:t>
      </w:r>
    </w:p>
    <w:p w14:paraId="707539A2"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4. Hành vi bị nghiêm cấm</w:t>
      </w:r>
    </w:p>
    <w:p w14:paraId="5C30EEDD"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Thực hiện hành vi bị nghiêm cấm theo Điều 7 Luật An ninh mạng số 116/2025/QH15 và pháp luật có liên quan.</w:t>
      </w:r>
    </w:p>
    <w:p w14:paraId="5C488D9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Truy cập, khai thác, sao chép, cung cấp, sửa đổi, xóa hoặc làm gián đoạn thông tin, dữ liệu, dịch vụ khi chưa được phép hoặc vượt phạm vi được giao.</w:t>
      </w:r>
    </w:p>
    <w:p w14:paraId="666CDCFA"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lastRenderedPageBreak/>
        <w:t>3. Tự ý đấu nối modem, bộ phát Wi-Fi, thiết bị cấp phát địa chỉ mạng, thiết bị lưu trữ hoặc đồng thời kết nối mạng nội bộ với mạng ngoài bằng kết nối không được kiểm soát.</w:t>
      </w:r>
    </w:p>
    <w:p w14:paraId="79665E13"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Chia sẻ tài khoản, mật khẩu, mã xác thực, khóa bí mật; dùng tài khoản của người khác; lưu bí mật xác thực ở dạng rõ hoặc cho người không có nhiệm vụ sử dụng thiết bị đã đăng nhập.</w:t>
      </w:r>
    </w:p>
    <w:p w14:paraId="6733F763" w14:textId="2E1E5B69"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5. Tự ý vô hiệu hóa phần mềm phòng, chống mã độc, tường lửa, ghi nhật ký, kiểm soát truy cập hoặc biện pháp bảo vệ do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triển khai.</w:t>
      </w:r>
    </w:p>
    <w:p w14:paraId="4FA66DCD"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6. Đưa dữ liệu công vụ lên thư điện tử cá nhân, kho lưu trữ cá nhân, ứng dụng nhắn tin, nền tảng trí tuệ nhân tạo hoặc dịch vụ bên ngoài khi chưa được phép.</w:t>
      </w:r>
    </w:p>
    <w:p w14:paraId="3ECF2D56"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5. Tổ chức, vai trò và phối hợp</w:t>
      </w:r>
    </w:p>
    <w:p w14:paraId="2D0B0A3E" w14:textId="254A573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w:t>
      </w:r>
      <w:r w:rsidR="00AE538E" w:rsidRPr="003F6477">
        <w:rPr>
          <w:rFonts w:ascii="Times New Roman" w:hAnsi="Times New Roman" w:cs="Times New Roman"/>
          <w:sz w:val="26"/>
          <w:szCs w:val="26"/>
        </w:rPr>
        <w:t>Bệnh viện Đa khoa</w:t>
      </w:r>
      <w:r w:rsidRPr="003F6477">
        <w:rPr>
          <w:rFonts w:ascii="Times New Roman" w:hAnsi="Times New Roman" w:cs="Times New Roman"/>
          <w:sz w:val="26"/>
          <w:szCs w:val="26"/>
        </w:rPr>
        <w:t xml:space="preserve"> khu vực Thới Lai thực hiện trách nhiệm của đơn vị vận hành theo Điều 33 Nghị định số 331/2026/NĐ-CP. Đối với Hệ thống đề xuất cấp độ 2, đơn vị chuyên trách về an ninh mạng của chủ quản thực hiện thẩm định, phê duyệt hồ sơ đề xuất cấp độ và gửi báo cáo chủ quản theo khoản 1 Điều 18 Nghị định số 331/2026/NĐ-CP; bộ phận trực tiếp vận hành không tự thẩm định, tự phê duyệt hồ sơ do mình lập. Giám đốc </w:t>
      </w:r>
      <w:r w:rsidR="00AE538E" w:rsidRPr="003F6477">
        <w:rPr>
          <w:rFonts w:ascii="Times New Roman" w:hAnsi="Times New Roman" w:cs="Times New Roman"/>
          <w:sz w:val="26"/>
          <w:szCs w:val="26"/>
        </w:rPr>
        <w:t>Bệnh viện</w:t>
      </w:r>
      <w:r w:rsidRPr="003F6477">
        <w:rPr>
          <w:rFonts w:ascii="Times New Roman" w:hAnsi="Times New Roman" w:cs="Times New Roman"/>
          <w:sz w:val="26"/>
          <w:szCs w:val="26"/>
        </w:rPr>
        <w:t xml:space="preserve"> chịu trách nhiệm chỉ đạo trong phạm vi được giao.</w:t>
      </w:r>
    </w:p>
    <w:p w14:paraId="1B94C9BD" w14:textId="64024355"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2.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là đầu mối tham mưu công tác an ninh mạng, an toàn hệ thống thông tin; quản lý hồ sơ cấp độ, kế hoạch, danh mục nghiệp vụ, nhà cung cấp và điều phối việc thực hiện Quy chế.</w:t>
      </w:r>
    </w:p>
    <w:p w14:paraId="360C09A3" w14:textId="6FB30978"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3. Tổ Công nghệ thông tin trực thuộc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trực tiếp quản trị, vận hành kỹ thuật; quản lý tài sản CNTT, tài khoản, cấu hình, nhật ký, sao lưu, điểm yếu và sự cố. Cá nhân thực hiện và người thay thế phải được phân công bằng văn bản.</w:t>
      </w:r>
    </w:p>
    <w:p w14:paraId="06DA91FA" w14:textId="3464F183"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Phòng Tổ chức - Hành chính phối hợp quản lý nhân sự, tài sản, quyền ra vào, cam kết bảo mật và thu hồi khi thay đổi công việc;</w:t>
      </w:r>
      <w:r w:rsidR="005A714D">
        <w:rPr>
          <w:rFonts w:ascii="Times New Roman" w:hAnsi="Times New Roman" w:cs="Times New Roman"/>
          <w:sz w:val="26"/>
          <w:szCs w:val="26"/>
        </w:rPr>
        <w:t xml:space="preserve"> phối hợp với</w:t>
      </w:r>
      <w:r w:rsidRPr="0025103D">
        <w:rPr>
          <w:rFonts w:ascii="Times New Roman" w:hAnsi="Times New Roman" w:cs="Times New Roman"/>
          <w:sz w:val="26"/>
          <w:szCs w:val="26"/>
        </w:rPr>
        <w:t xml:space="preserve"> cơ quan Công an có thẩm quyền</w:t>
      </w:r>
      <w:r w:rsidR="005A714D">
        <w:rPr>
          <w:rFonts w:ascii="Times New Roman" w:hAnsi="Times New Roman" w:cs="Times New Roman"/>
          <w:sz w:val="26"/>
          <w:szCs w:val="26"/>
        </w:rPr>
        <w:t xml:space="preserve"> </w:t>
      </w:r>
      <w:r w:rsidRPr="0025103D">
        <w:rPr>
          <w:rFonts w:ascii="Times New Roman" w:hAnsi="Times New Roman" w:cs="Times New Roman"/>
          <w:sz w:val="26"/>
          <w:szCs w:val="26"/>
        </w:rPr>
        <w:t>xác minh, bảo toàn chứng cứ và xử lý hành vi vi phạm theo quy định.</w:t>
      </w:r>
    </w:p>
    <w:p w14:paraId="0A1EDC8B" w14:textId="3B16AE94"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5. Trưởng các khoa, phòng và phụ trách </w:t>
      </w:r>
      <w:r w:rsidRPr="005A714D">
        <w:rPr>
          <w:rFonts w:ascii="Times New Roman" w:hAnsi="Times New Roman" w:cs="Times New Roman"/>
          <w:color w:val="FF0000"/>
          <w:sz w:val="26"/>
          <w:szCs w:val="26"/>
        </w:rPr>
        <w:t xml:space="preserve"> </w:t>
      </w:r>
      <w:r w:rsidRPr="0025103D">
        <w:rPr>
          <w:rFonts w:ascii="Times New Roman" w:hAnsi="Times New Roman" w:cs="Times New Roman"/>
          <w:sz w:val="26"/>
          <w:szCs w:val="26"/>
        </w:rPr>
        <w:t>là chủ sở hữu nghiệp vụ đối với dữ liệu được giao; phê duyệt nhu cầu truy cập, xác định yêu cầu sao lưu và phối hợp thử nghiệm, nghiệm thu, xử lý sự cố. Phòng Tài chính - Kế toán tham mưu bố trí và kiểm soát kinh phí duy trì an ninh mạng.</w:t>
      </w:r>
    </w:p>
    <w:p w14:paraId="5CFF873A"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6. Danh bạ đầu mối nội bộ, người chủ chốt và ít nhất 01 người dự phòng của lực lượng ứng phó sự cố, cơ quan có thẩm quyền, cơ quan điều hành Liên minh ứng phó, khắc phục sự cố </w:t>
      </w:r>
      <w:r w:rsidRPr="0025103D">
        <w:rPr>
          <w:rFonts w:ascii="Times New Roman" w:hAnsi="Times New Roman" w:cs="Times New Roman"/>
          <w:sz w:val="26"/>
          <w:szCs w:val="26"/>
        </w:rPr>
        <w:lastRenderedPageBreak/>
        <w:t>an ninh mạng quốc gia, nhà mạng và nhà cung cấp được lập thành phụ lục; xác minh tối thiểu hằng năm và cập nhật ngay khi thay đổi.</w:t>
      </w:r>
    </w:p>
    <w:p w14:paraId="51F3A7E4"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6. Bảo đảm nguồn nhân lực và nhận thức</w:t>
      </w:r>
    </w:p>
    <w:p w14:paraId="0B7CBE4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Nhân sự thực hiện công tác CNTT/an ninh mạng phải có mô tả nhiệm vụ, quyền hạn, yêu cầu năng lực, cam kết bảo mật và người thay thế; quyền đặc quyền chỉ được cấp sau phê duyệt và hướng dẫn bắt buộc.</w:t>
      </w:r>
    </w:p>
    <w:p w14:paraId="4B9C8B93" w14:textId="03CC9250"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2.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tổ chức phổ biến kiến thức an ninh mạng tối thiểu 01 lần/năm; nội dung gồm nhận biết lừa đảo, bảo vệ tài khoản, dữ liệu sức khỏe và dữ liệu cá nhân nhạy cảm, thiết bị, sử dụng Internet/thư điện tử, báo cáo sự cố và trách nhiệm pháp lý.</w:t>
      </w:r>
    </w:p>
    <w:p w14:paraId="4FA361D0"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Nhân sự quản trị được đào tạo theo vai trò về cấu hình an toàn, bản vá, nhật ký, sao lưu, phục hồi, xử lý sự cố và bảo toàn chứng cứ. Hồ sơ gồm kế hoạch, tài liệu, danh sách tham dự và kết quả đánh giá hoặc xác nhận tương đương.</w:t>
      </w:r>
    </w:p>
    <w:p w14:paraId="49EC597B"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Khi nhân sự thay đổi vị trí, nghỉ việc, đình chỉ hoặc nghỉ dài hạn, tài khoản, quyền truy cập, tài sản, thiết bị xác thực và dữ liệu được xử lý theo QT-06; ưu tiên thu hồi tài khoản đặc quyền ngay theo thời điểm quyết định có hiệu lực.</w:t>
      </w:r>
    </w:p>
    <w:p w14:paraId="0B319343"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7. Thiết kế, thiết lập, mở rộng và nâng cấp Hệ thống</w:t>
      </w:r>
    </w:p>
    <w:p w14:paraId="07EB2113"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Tài liệu thiết kế phải mô tả tên, phạm vi, ranh giới, người sử dụng, dữ liệu, mô hình logic và vật lý, địa chỉ/vùng mạng, thành phần, kết nối, luồng dữ liệu, tài khoản quản trị, sao lưu, giám sát và phương án bảo đảm tương ứng cấp độ 2.</w:t>
      </w:r>
    </w:p>
    <w:p w14:paraId="62607E10"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Đánh giá rủi ro an ninh mạng phải thực hiện khi xác định cấp độ lần đầu; khi thay đổi chức năng, phạm vi, đối tượng, loại thông tin hoặc công nghệ; khi mở rộng, tích hợp, kết nối, chia sẻ dữ liệu; khi xảy ra sự cố nghiêm trọng/nguy cơ cao; hoặc khi cơ quan có thẩm quyền yêu cầu. Kết quả đánh giá là căn cứ lựa chọn cấp độ, biện pháp bảo vệ, phương án ứng cứu và phải được lưu giữ.</w:t>
      </w:r>
    </w:p>
    <w:p w14:paraId="2AD11371"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Thay đổi thiết kế phải có phiếu yêu cầu, đánh giá tác động, phê duyệt, kế hoạch kiểm thử, sao lưu/hoàn tác, cập nhật tài liệu và kiểm tra sau thay đổi.</w:t>
      </w:r>
    </w:p>
    <w:p w14:paraId="31E3918C"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8. Phát triển phần mềm và dịch vụ thuê ngoài</w:t>
      </w:r>
    </w:p>
    <w:p w14:paraId="025363E2" w14:textId="3FFBA0A2"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Đối với HIS, EMR, LIS, PACS, website, hosting và phần mềm/dịch vụ thuê ngoài, hồ sơ phải phân định rõ phạm vi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quản lý, phạm vi nhà cung cấp quản trị, vị trí lưu dữ liệu, quyền kiểm tra, trách nhiệm sao lưu, nhật ký, thông báo sự cố, bàn giao và xóa dữ liệu. Trường hợp không thuê phát triển hoặc không nhận bàn giao mã nguồn phải giải trình rõ căn cứ.</w:t>
      </w:r>
    </w:p>
    <w:p w14:paraId="542B752C"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lastRenderedPageBreak/>
        <w:t>2. Hợp đồng phải quy định yêu cầu cấp độ, bảo vệ dữ liệu, tài khoản nhà thầu, thông báo sự cố, quyền kiểm tra, bàn giao, quyền sở hữu tài liệu/mã nguồn theo phạm vi mua sắm và nghĩa vụ khi chấm dứt.</w:t>
      </w:r>
    </w:p>
    <w:p w14:paraId="223AE8F0"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Tài khoản nhà thầu phải định danh, giới hạn thời gian, truy cập qua kênh an toàn, ghi nhật ký và giám sát; kết thúc công việc phải thu hồi quyền, xác nhận hoàn trả/xóa dữ liệu và bàn giao hồ sơ kỹ thuật.</w:t>
      </w:r>
    </w:p>
    <w:p w14:paraId="49070266"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9. Thử nghiệm, nghiệm thu và cho phép vận hành</w:t>
      </w:r>
    </w:p>
    <w:p w14:paraId="2CF3DA46"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Thành phần Hệ thống mới hoặc thay đổi lớn phải được thử nghiệm theo QT-07 trước khi vận hành, gồm chức năng, tích hợp, phân quyền, xác thực, nhật ký, sao lưu/khôi phục, cấu hình an toàn và kiểm tra an ninh.</w:t>
      </w:r>
    </w:p>
    <w:p w14:paraId="22097364"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Môi trường thử nghiệm phải tách biệt hợp lý; không dùng dữ liệu thật nếu chưa được phê duyệt và bảo vệ tương đương; thử nghiệm có nguy cơ gián đoạn phải có khung giờ và phương án hoàn tác.</w:t>
      </w:r>
    </w:p>
    <w:p w14:paraId="5F9C9380"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Lỗi nghiêm trọng hoặc mức cao phải được khắc phục và thử lại trước nghiệm thu. Ngoại lệ chỉ được chấp nhận khi có đánh giá rủi ro, biện pháp bù, thời hạn và phê duyệt.</w:t>
      </w:r>
    </w:p>
    <w:p w14:paraId="14D37CFB"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Chỉ cho phép vận hành khi kết quả đánh giá điều kiện an ninh mạng xác nhận chính sách, quy chế, quy trình, tổ chức nhân sự, biện pháp quản lý - kỹ thuật, khả năng giám sát/ứng phó/khôi phục và hồ sơ tuân thủ đạt yêu cầu; đồng thời có biên bản nghiệm thu, tài liệu bàn giao, tài khoản quản trị được kiểm soát và kế hoạch sao lưu, giám sát, hỗ trợ.</w:t>
      </w:r>
    </w:p>
    <w:p w14:paraId="106E56BE"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10. Quản lý an toàn mạng</w:t>
      </w:r>
    </w:p>
    <w:p w14:paraId="74027B4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Thiết bị mạng, tường lửa, điểm truy cập không dây và kết nối được lập danh mục, cấu hình an toàn, đồng bộ thời gian, sao lưu cấu hình, ghi nhật ký và giám sát tính sẵn sàng.</w:t>
      </w:r>
    </w:p>
    <w:p w14:paraId="1E406535"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Kiến trúc mạng phải đáp ứng ba nguyên tắc: phân vùng mạng, đặc quyền ít nhất và tính sẵn sàng. Tối thiểu thiết kế vùng mạng biên, vùng máy chủ, vùng mạng nội bộ, vùng mạng không dây và vùng DMZ khi cung cấp dịch vụ ra ngoài; đồng thời tách vùng quản trị, Wi-Fi khách và camera theo rủi ro. Kết nối giữa các vùng chỉ mở theo ma trận luồng được phê duyệt, mặc định từ chối luồng không được phép.</w:t>
      </w:r>
    </w:p>
    <w:p w14:paraId="27775309"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Không quản trị trực tiếp từ Internet. Truy cập từ xa phải qua VPN hoặc phương án tương đương, giới hạn nguồn, sử dụng MFA đối với truy cập từ bên ngoài, đối tác/bên thứ ba và tài khoản quản trị; thiết bị truy cập phải tuân thủ cấu hình an toàn, phòng chống mã độc, thời gian chờ và ghi nhật ký.</w:t>
      </w:r>
    </w:p>
    <w:p w14:paraId="27B93D43"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lastRenderedPageBreak/>
        <w:t>4. Thiết bị mạng chính phải có phương án dự phòng; kiểm soát giữa các vùng bằng tường lửa tích hợp phòng, chống xâm nhập hoặc phương án tương đương; triển khai WAF hoặc phương án tương đương cho ứng dụng web (nếu có) và dịch vụ lọc tên miền để chặn tên miền giả mạo, độc hại. Thay đổi cấu hình thực hiện theo QT-01; sơ đồ và cấu hình được rà soát tối thiểu hằng năm và khi có thay đổi.</w:t>
      </w:r>
    </w:p>
    <w:p w14:paraId="087007A3"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11. Quản lý an toàn máy chủ và ứng dụng</w:t>
      </w:r>
    </w:p>
    <w:p w14:paraId="4CE1B8F4"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Hai máy chủ tại chỗ, đặc biệt SERVER2/HIS 192.168.1.2, cùng các ứng dụng và dịch vụ thuộc phạm vi quản lý phải được lập danh mục theo chủ sở hữu, đơn vị vận hành, phiên bản hệ điều hành/CSDL, trạng thái hỗ trợ, mức độ quan trọng, dịch vụ/cổng, yêu cầu sao lưu và đầu mối hỗ trợ.</w:t>
      </w:r>
    </w:p>
    <w:p w14:paraId="0A814016" w14:textId="089F5904"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2. Đối với hệ thống dùng chung/thuê dịch vụ do cơ quan khác quản trị,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quản lý tài khoản, thiết bị truy cập, dữ liệu được giao và yêu cầu nhà cung cấp/chủ quản cung cấp thông tin SLA, sao lưu, nhật ký, sự cố trong phạm vi trách nhiệm.</w:t>
      </w:r>
    </w:p>
    <w:p w14:paraId="1B843E7F"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Mật khẩu mặc định phải đổi; tài khoản đặc quyền cấp riêng và bắt buộc MFA khi truy cập quản trị. Hệ thống có MFA áp dụng mật khẩu tối thiểu 08 ký tự; hệ thống chưa có MFA áp dụng tối thiểu 14 ký tự gồm chữ hoa, chữ thường, số và ký tự đặc biệt; tài khoản quản trị đổi mật khẩu tối thiểu 01 lần/02 tháng. Tài khoản không hoạt động phải vô hiệu hóa sau 45 ngày; phần mềm, dịch vụ và giao thức không sử dụng phải gỡ bỏ hoặc vô hiệu hóa.</w:t>
      </w:r>
    </w:p>
    <w:p w14:paraId="3B5E51F3"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Bản vá, điểm yếu và kết nối/gỡ bỏ máy chủ, ứng dụng thực hiện theo QT-02; trường hợp chưa thể vá phải có biện pháp bù, người chịu trách nhiệm và hạn xử lý.</w:t>
      </w:r>
    </w:p>
    <w:p w14:paraId="2C7A9984"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12. Quản lý dữ liệu, sao lưu và khôi phục</w:t>
      </w:r>
    </w:p>
    <w:p w14:paraId="7660264E"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Tài sản thông tin được lập danh mục theo chủ sở hữu, loại dữ liệu, nơi lưu, người được xử lý, thời hạn lưu, mức độ quan trọng, RPO, RTO và phương án hủy. Áp dụng tối thiểu ba mức: Công khai, Nội bộ và Hạn chế truy cập; nhận diện riêng dữ liệu khám chữa bệnh, hồ sơ bệnh án, dữ liệu sức khỏe và dữ liệu cá nhân nhạy cảm; lập danh sách quyền truy cập cho từng loại tài sản thông tin.</w:t>
      </w:r>
    </w:p>
    <w:p w14:paraId="61AA77DE"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Dữ liệu hạn chế tiếp cận, dữ liệu cá nhân, bí mật nhà nước và bí mật công tác được bảo vệ theo pháp luật chuyên ngành; mã hóa khi truyền và mã hóa khi lưu khi rủi ro yêu cầu.</w:t>
      </w:r>
    </w:p>
    <w:p w14:paraId="63C57176"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Sao lưu theo QT-03 và danh mục được phê duyệt; bản sao phải được định danh, quản lý phiên bản, bảo vệ tính toàn vẹn/tính sẵn sàng và lưu trên hạ tầng tách biệt với môi trường vận hành. Dữ liệu quan trọng ưu tiên bản sao ngoại tuyến hoặc bất biến; không sử dụng FTP/TFTP hoặc giao thức truyền không bảo mật.</w:t>
      </w:r>
    </w:p>
    <w:p w14:paraId="289EB8B3"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lastRenderedPageBreak/>
        <w:t>4. Kết quả sao lưu phải được kiểm tra; lỗi phải cảnh báo và xử lý. Kiểm thử phục hồi tối thiểu 01 lần/năm và sau thay đổi lớn; biên bản phải xác nhận tính đầy đủ, nguyên vẹn và mức đáp ứng RPO/RTO.</w:t>
      </w:r>
    </w:p>
    <w:p w14:paraId="6C207607" w14:textId="723166C4"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5. Dữ liệu nằm hoàn toàn trên hệ thống dùng chung do cơ quan cấp trên sao lưu phải được ghi rõ trong danh mục;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lưu bằng chứng về trách nhiệm của chủ quản/nhà cung cấp và thực hiện sao lưu phần dữ liệu được phép xuất về theo quy định.</w:t>
      </w:r>
    </w:p>
    <w:p w14:paraId="345CE3EE"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13. Quản lý thiết bị đầu cuối và phương tiện lưu trữ</w:t>
      </w:r>
    </w:p>
    <w:p w14:paraId="6AA0DED3"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Danh mục tài sản phần cứng phải bao gồm tối thiểu tên tài sản, IP tĩnh, MAC/serial, thời gian ngừng hỗ trợ, vị trí địa lý/vị trí mạng, mục đích, trạng thái và người/bộ phận chịu trách nhiệm. Danh mục phần mềm phải có tên, mục đích, thời gian ngừng hỗ trợ, phạm vi, chủ thể quản lý, bản quyền, phiên bản và thành phần hệ thống. Chỉ tài sản được quản lý và phê duyệt mới được kết nối, cài đặt và sử dụng.</w:t>
      </w:r>
    </w:p>
    <w:p w14:paraId="38913BCA"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Thiết bị người dùng tự động khóa không quá 15 phút; phiên quản trị máy chủ, thiết bị mạng, IoT và thiết bị di động không quá 05 phút; phần mềm nghiệp vụ xử lý dữ liệu quan trọng không quá 15 phút. Giới hạn quyền quản trị cục bộ, bật tường lửa/phòng chống mã độc, cập nhật bản vá tối thiểu hằng tháng khi có bản vá phù hợp và mã hóa ổ đĩa khi xử lý dữ liệu nhạy cảm.</w:t>
      </w:r>
    </w:p>
    <w:p w14:paraId="36AF86E1"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Phương tiện lưu trữ rời mặc định bị hạn chế; trường hợp cần dùng phải được phê duyệt, quét mã độc, mã hóa nếu chứa dữ liệu nhạy cảm và ghi nhận việc sao chép. Thiết bị cá nhân chỉ kết nối vùng mạng được cho phép.</w:t>
      </w:r>
    </w:p>
    <w:p w14:paraId="06D63F0E"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14. Phòng, chống phần mềm độc hại</w:t>
      </w:r>
    </w:p>
    <w:p w14:paraId="643DC357"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Máy trạm, máy chủ và thiết bị phù hợp phải sử dụng giải pháp phòng, chống mã độc có bản quyền hoặc được cơ quan có thẩm quyền cung cấp, cập nhật tự động, giám sát trạng thái và hạn chế người dùng tự vô hiệu hóa.</w:t>
      </w:r>
    </w:p>
    <w:p w14:paraId="307BD6D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Tập tin, phần mềm, phương tiện lưu trữ từ bên ngoài phải được kiểm tra trước khi sử dụng; phần mềm chỉ được cài đặt từ nguồn hợp lệ và theo phê duyệt.</w:t>
      </w:r>
    </w:p>
    <w:p w14:paraId="19EDE813"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Khi phát hiện mã độc, người dùng phải dừng thao tác, ngắt kết nối khi cần, báo ngay đầu mối CNTT/an ninh mạng và thực hiện QT-04; không tự ý xóa dấu vết hoặc cài lại máy.</w:t>
      </w:r>
    </w:p>
    <w:p w14:paraId="56ECDEF1"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15. Giám sát và quản lý nhật ký</w:t>
      </w:r>
    </w:p>
    <w:p w14:paraId="5831ACAD" w14:textId="23172FA0"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chỉ đạo Tổ Công nghệ thông tin xác định nguồn nhật ký tối thiểu gồm thiết bị mạng/bảo mật, 02 máy chủ, hệ điều hành, HIS/CSDL, ứng dụng, tài khoản, truy cập quản trị, sao lưu và phần mềm chống mã độc.</w:t>
      </w:r>
    </w:p>
    <w:p w14:paraId="04BA3C9F" w14:textId="61E9F47F"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lastRenderedPageBreak/>
        <w:t xml:space="preserve">2. Nhật ký truy cập hệ thống, nhật ký ứng dụng và nhật ký cảnh báo thiết bị bảo mật phải đồng bộ thời gian, bảo vệ khỏi sửa/xóa trái phép, giới hạn truy cập và lưu tối thiểu 01 tháng.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áp dụng thời hạn 06 tháng cho nguồn trọng yếu khi hạ tầng cho phép hoặc theo thời hạn dài hơn của pháp luật chuyên ngành/hồ sơ cấp độ.</w:t>
      </w:r>
    </w:p>
    <w:p w14:paraId="77B45615"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Nhật ký và cảnh báo được rà soát tối thiểu hằng tháng; cảnh báo nghiêm trọng phải được xác minh, phân công, xử lý và lưu vết. Sự kiện xác định là sự cố được chuyển sang QT-04.</w:t>
      </w:r>
    </w:p>
    <w:p w14:paraId="5C5757EB"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Thực hiện kết nối hệ thống giám sát an ninh mạng và phòng, chống mã độc tập trung về Trung tâm An ninh mạng quốc gia của Bộ Công an hoặc Trung tâm An ninh mạng cấp tỉnh/thành phố theo hướng dẫn và lộ trình của cơ quan có thẩm quyền.</w:t>
      </w:r>
    </w:p>
    <w:p w14:paraId="1DD4A89E"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16. Quản lý điểm yếu và bản vá</w:t>
      </w:r>
    </w:p>
    <w:p w14:paraId="02556B80"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Theo dõi cảnh báo từ cơ quan có thẩm quyền, nhà sản xuất, nhà cung cấp và nguồn tin cậy; duy trì danh mục điểm yếu theo tài sản, mức độ, người xử lý, thời hạn và trạng thái.</w:t>
      </w:r>
    </w:p>
    <w:p w14:paraId="2209C686"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Rà quét điểm yếu tối thiểu 01 lần/năm đối với phạm vi Hệ thống và khi thay đổi lớn hoặc có cảnh báo khẩn cấp; thử nghiệm xâm nhập chỉ thực hiện khi được phê duyệt phạm vi, thời gian, biện pháp bảo vệ và bảo mật kết quả.</w:t>
      </w:r>
    </w:p>
    <w:p w14:paraId="6C11BEEC"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Điểm yếu nghiêm trọng/cao được ưu tiên xử lý và kiểm tra lại. Chấp nhận rủi ro phải nêu lý do, biện pháp bù, chủ sở hữu và ngày xem xét lại.</w:t>
      </w:r>
    </w:p>
    <w:p w14:paraId="7FD65612"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17. Quản lý và ứng phó sự cố</w:t>
      </w:r>
    </w:p>
    <w:p w14:paraId="5CB0F7EF" w14:textId="275EAAD9"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Mọi cá nhân phải báo ngay dấu hiệu bất thường qua đầu mối được công bố.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tiếp nhận; Tổ Công nghệ thông tin xác minh; cơ quan Công an có thẩm quyền phối hợp khi có dấu hiệu tấn công, vi phạm hoặc cần bảo toàn chứng cứ.</w:t>
      </w:r>
    </w:p>
    <w:p w14:paraId="0C246E5C"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Xử lý theo QT-04 gồm ghi nhận, xác minh, phân loại, thông báo, cô lập/kiềm chế, bảo toàn chứng cứ, loại bỏ nguyên nhân, khôi phục, giám sát, báo cáo, tổng kết và phòng ngừa tái diễn.</w:t>
      </w:r>
    </w:p>
    <w:p w14:paraId="6CAA6D6D"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Sự cố an ninh mạng nghiêm trọng phải được thông báo ban đầu tới cơ quan chuyên trách của Bộ Công an trong 24 giờ kể từ khi phát hiện; báo cáo nguyên nhân, phạm vi ảnh hưởng và biện pháp khắc phục trong 72 giờ. Trường hợp có dấu hiệu xâm phạm an ninh quốc gia, trật tự, an toàn xã hội hoặc gây gián đoạn nghiêm trọng thì báo cáo ngay; sự cố phức tạp phải có báo cáo sơ bộ, cập nhật và kết thúc.</w:t>
      </w:r>
    </w:p>
    <w:p w14:paraId="6134DCAA"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4. Không tự ý xóa log, cài lại, tiêu hủy vật chứng hoặc công bố thông tin sự cố. Kế hoạch ứng phó được rà soát hằng năm; tổ chức diễn tập theo kế hoạch và sau thay đổi lớn khi cần.</w:t>
      </w:r>
    </w:p>
    <w:p w14:paraId="44025F84"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18. Quản lý an toàn người sử dụng đầu cuối</w:t>
      </w:r>
    </w:p>
    <w:p w14:paraId="2A172B2A"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lastRenderedPageBreak/>
        <w:t>1. Tài khoản chỉ được cấp theo yêu cầu công việc và phê duyệt; người dùng chịu trách nhiệm với hoạt động trên tài khoản, bảo vệ bí mật xác thực và không chuyển giao tài khoản.</w:t>
      </w:r>
    </w:p>
    <w:p w14:paraId="55DFA66D"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Người dùng lưu trữ, gửi, chia sẻ và in dữ liệu đúng phân loại; kiểm tra người nhận và quyền chia sẻ; không dùng tài khoản/dịch vụ cá nhân hoặc công cụ AI chưa được phép để xử lý dữ liệu công vụ, dữ liệu khám chữa bệnh, hồ sơ bệnh án hoặc dữ liệu sức khỏe.</w:t>
      </w:r>
    </w:p>
    <w:p w14:paraId="000077F9"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Truy cập từ xa phải qua giải pháp được phê duyệt, dùng xác thực mạnh, thiết bị tuân thủ và không lưu dữ liệu không cần thiết ngoài trụ sở. Việc sử dụng Internet, Wi-Fi, thư điện tử và USB thực hiện theo QT-05.</w:t>
      </w:r>
    </w:p>
    <w:p w14:paraId="2D072CCD"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19. Quản lý rủi ro</w:t>
      </w:r>
    </w:p>
    <w:p w14:paraId="074E87CC" w14:textId="57FE2894"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lập danh mục tài sản và sổ rủi ro; xác định mối đe dọa, điểm yếu, biện pháp hiện có, khả năng xảy ra, tác động và mức rủi ro.</w:t>
      </w:r>
    </w:p>
    <w:p w14:paraId="6ABC5DC5"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Mỗi rủi ro có chủ sở hữu và phương án giảm thiểu, tránh, chuyển giao hoặc chấp nhận; kế hoạch xử lý phải có nguồn lực, người thực hiện, thời hạn và bằng chứng hoàn thành.</w:t>
      </w:r>
    </w:p>
    <w:p w14:paraId="57664567" w14:textId="481388DE"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3. Rủi ro còn lại vượt ngưỡng phải trình Giám đốc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và báo cáo chủ quản theo thẩm quyền. Rà soát tối thiểu hằng năm và bắt buộc đánh giá lại theo các trường hợp tại khoản 2 Điều 10 Nghị định số 331/2026/NĐ-CP; nếu rủi ro cao hơn cấp độ đã xác định phải đề xuất áp dụng cấp độ cao hơn.</w:t>
      </w:r>
    </w:p>
    <w:p w14:paraId="09815D68"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20. Kết thúc vận hành, chuyển giao, thanh lý và hủy bỏ</w:t>
      </w:r>
    </w:p>
    <w:p w14:paraId="42E9223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Đơn vị chủ trì lập kế hoạch xác định dữ liệu cần lưu/chuyển giao/hủy, tài khoản và kết nối cần đóng, giấy phép cần thu hồi, thiết bị cần xử lý và trách nhiệm các bên.</w:t>
      </w:r>
    </w:p>
    <w:p w14:paraId="04D2841B"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Trước khi gỡ bỏ phải sao lưu hoặc bàn giao dữ liệu theo quyết định của chủ sở hữu, lưu cấu hình/nhật ký cần thiết, thu hồi chứng thư số, khóa, tài khoản và cập nhật danh mục tài sản.</w:t>
      </w:r>
    </w:p>
    <w:p w14:paraId="1B22B76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Dữ liệu trên thiết bị/phương tiện lưu trữ được xóa an toàn hoặc tiêu hủy vật lý theo mức độ dữ liệu; phải có biên bản và người kiểm tra độc lập với người thực hiện khi điều kiện cho phép.</w:t>
      </w:r>
    </w:p>
    <w:p w14:paraId="1DE2E215"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21. Kiểm tra, đánh giá và khắc phục</w:t>
      </w:r>
    </w:p>
    <w:p w14:paraId="2407F62E" w14:textId="3FA05514"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Hằng năm,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trình kế hoạch kiểm tra tuân thủ và hiệu quả biện pháp quản lý, kỹ thuật. Việc tự đánh giá phải do bộ phận/cá nhân độc lập với người trực tiếp vận hành thực hiện; phạm vi gồm hồ sơ cấp độ, rủi ro, tài khoản, cấu hình, nhật ký, sao lưu, sự cố, đào tạo và nhà cung cấp.</w:t>
      </w:r>
    </w:p>
    <w:p w14:paraId="607BFF2D"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lastRenderedPageBreak/>
        <w:t>2. Kiểm tra đột xuất khi có sự cố, cảnh báo, thay đổi lớn, yêu cầu của cơ quan có thẩm quyền hoặc dấu hiệu vi phạm.</w:t>
      </w:r>
    </w:p>
    <w:p w14:paraId="0FF9519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Mỗi phát hiện được phân loại, giao người chủ trì và hạn khắc phục; chỉ đóng khi có kiểm tra xác nhận. Nội dung chưa thể xử lý phải đánh giá và chấp nhận rủi ro theo Điều 19.</w:t>
      </w:r>
    </w:p>
    <w:p w14:paraId="6ABBEB70"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22. Chế độ báo cáo và chia sẻ thông tin</w:t>
      </w:r>
    </w:p>
    <w:p w14:paraId="464422DF" w14:textId="09BAA354"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Báo cáo định kỳ hằng năm chốt số liệu từ ngày 15/12 năm trước đến ngày 14/12 của kỳ báo cáo.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tổng hợp, gửi đơn vị chuyên trách về an ninh mạng/chủ quản trước ngày 20/12; báo cáo đột xuất thực hiện theo yêu cầu. Nội dung tối thiểu theo Điều 36 Nghị định số 331/2026/NĐ-CP.</w:t>
      </w:r>
    </w:p>
    <w:p w14:paraId="3EFA902A"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Báo cáo sự cố thực hiện ngay theo Điều 17, nêu thời điểm, phạm vi, ảnh hưởng, biện pháp, nhu cầu hỗ trợ và đầu mối; cập nhật đến khi kết thúc.</w:t>
      </w:r>
    </w:p>
    <w:p w14:paraId="2D797C37"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Thông tin cấu hình, điểm yếu, dữ liệu cá nhân, bí mật nhà nước, bí mật công tác chỉ được chia sẻ đúng đối tượng, mục đích và thẩm quyền.</w:t>
      </w:r>
    </w:p>
    <w:p w14:paraId="289F2578"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23. Kinh phí bảo vệ an ninh mạng</w:t>
      </w:r>
    </w:p>
    <w:p w14:paraId="7C6D3E1D"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Kinh phí được lập trong dự toán ứng dụng CNTT, chuyển đổi số hằng năm và nguồn hợp pháp khác; ưu tiên duy trì bản quyền, giám sát, sao lưu, đánh giá, đào tạo, diễn tập và khắc phục rủi ro.</w:t>
      </w:r>
    </w:p>
    <w:p w14:paraId="05F4D05B"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Đối với chương trình, đề án, dự án thuộc phạm vi khoản 1 Điều 38 Luật số 116/2025/QH15, thực hiện tỷ lệ kinh phí tối thiểu theo quy định của Luật và thể hiện thành hạng mục có thể theo dõi, nghiệm thu; không áp dụng máy móc cho khoản chi ngoài phạm vi điều luật.</w:t>
      </w:r>
    </w:p>
    <w:p w14:paraId="1BE9E33D" w14:textId="3E786930"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3. Phòng Tài chính - Kế toán phối hợp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kiểm tra việc bố trí, sử dụng, quyết toán đúng mục đích, tránh đầu tư trùng lặp và bảo đảm chi phí duy trì sau đầu tư.</w:t>
      </w:r>
    </w:p>
    <w:p w14:paraId="76BF6D21" w14:textId="3416A535"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 xml:space="preserve">Điều 24. Trách nhiệm của Phòng </w:t>
      </w:r>
      <w:r w:rsidR="000B6CA9">
        <w:rPr>
          <w:rFonts w:ascii="Times New Roman" w:hAnsi="Times New Roman" w:cs="Times New Roman"/>
          <w:b/>
          <w:bCs/>
          <w:sz w:val="26"/>
          <w:szCs w:val="26"/>
        </w:rPr>
        <w:t>Kế hoạch tổng hợp</w:t>
      </w:r>
      <w:r w:rsidRPr="0025103D">
        <w:rPr>
          <w:rFonts w:ascii="Times New Roman" w:hAnsi="Times New Roman" w:cs="Times New Roman"/>
          <w:b/>
          <w:bCs/>
          <w:sz w:val="26"/>
          <w:szCs w:val="26"/>
        </w:rPr>
        <w:t xml:space="preserve"> và Tổ Công nghệ thông tin</w:t>
      </w:r>
    </w:p>
    <w:p w14:paraId="28CA8041"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Tham mưu Quy chế, 07 Quy trình, kế hoạch, hồ sơ cấp độ và phương án; duy trì danh mục Hệ thống, tài sản, tài khoản, dữ liệu, rủi ro, nhà cung cấp và hồ sơ kỹ thuật.</w:t>
      </w:r>
    </w:p>
    <w:p w14:paraId="7BA6FB6D"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Tổ chức vận hành, sao lưu, giám sát, quản lý cấu hình, bản vá, tài khoản, nhật ký, điểm yếu và sự cố; đề xuất dừng thành phần có nguy cơ rõ ràng và báo cáo lãnh đạo.</w:t>
      </w:r>
    </w:p>
    <w:p w14:paraId="50087F2E"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Đôn đốc, kiểm tra, tổng hợp báo cáo; phối hợp cơ quan Công an có thẩm quyền, cơ quan chuyên trách, đơn vị điều phối, nhà mạng và nhà cung cấp; duy trì đầu mối xử lý sự cố.</w:t>
      </w:r>
    </w:p>
    <w:p w14:paraId="7103E7D7" w14:textId="580029DD"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lastRenderedPageBreak/>
        <w:t>Điều 25. Trách nhiệm của các khoa, phòng, người sử dụng và nhà cung cấp</w:t>
      </w:r>
    </w:p>
    <w:p w14:paraId="3DE22508" w14:textId="6E548A11"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Trưởng các khoa, phòng phê duyệt nhu cầu truy cập, xác định dữ liệu và yêu cầu sao lưu; phối hợp thử nghiệm, xử lý sự cố, thu hồi quyền và xác nhận kết quả.</w:t>
      </w:r>
    </w:p>
    <w:p w14:paraId="27B37C8C"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Người sử dụng tuân thủ Quy chế và quy trình; bảo vệ thiết bị, tài khoản, dữ liệu; tham gia đào tạo; báo sự cố; không tự điều tra hoặc công bố khi chưa được giao.</w:t>
      </w:r>
    </w:p>
    <w:p w14:paraId="2BBDDC21"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Nhà cung cấp chỉ truy cập theo phiếu công việc/phê duyệt, sử dụng tài khoản định danh, bảo mật dữ liệu, ghi nhật ký, thông báo sự cố và hoàn trả/xóa dữ liệu khi kết thúc.</w:t>
      </w:r>
    </w:p>
    <w:p w14:paraId="2DB2AC97"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26. Quản lý tài liệu và hồ sơ</w:t>
      </w:r>
    </w:p>
    <w:p w14:paraId="3A93E516"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1. Quy chế, quy trình, biểu mẫu và hồ sơ được quản lý mã, phiên bản, người phê duyệt, ngày hiệu lực, phạm vi phân phối và lịch sử sửa đổi; bản chính điện tử lưu tại kho dùng chung có kiểm soát quyền và sao lưu.</w:t>
      </w:r>
    </w:p>
    <w:p w14:paraId="56C85ABA"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Hồ sơ thay đổi, tài khoản, sao lưu, phục hồi, kiểm thử, nghiệm thu, rủi ro, đánh giá, sự cố, đào tạo và nhà cung cấp được lưu theo danh mục; hồ sơ sự cố, đánh giá và phê duyệt quan trọng lưu tối thiểu 05 năm, trừ khi quy định chuyên ngành yêu cầu dài hơn.</w:t>
      </w:r>
    </w:p>
    <w:p w14:paraId="5F4D7453"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Không sửa, xóa hoặc tiêu hủy hồ sơ đang phục vụ kiểm tra, điều tra, xử lý sự cố, tranh chấp hoặc yêu cầu của cơ quan có thẩm quyền.</w:t>
      </w:r>
    </w:p>
    <w:p w14:paraId="39747D6D" w14:textId="77777777" w:rsidR="00B53CCE" w:rsidRPr="0025103D" w:rsidRDefault="00B53CCE" w:rsidP="00B53CCE">
      <w:pPr>
        <w:rPr>
          <w:rFonts w:ascii="Times New Roman" w:hAnsi="Times New Roman" w:cs="Times New Roman"/>
          <w:b/>
          <w:bCs/>
          <w:sz w:val="26"/>
          <w:szCs w:val="26"/>
        </w:rPr>
      </w:pPr>
      <w:r w:rsidRPr="0025103D">
        <w:rPr>
          <w:rFonts w:ascii="Times New Roman" w:hAnsi="Times New Roman" w:cs="Times New Roman"/>
          <w:b/>
          <w:bCs/>
          <w:sz w:val="26"/>
          <w:szCs w:val="26"/>
        </w:rPr>
        <w:t>Điều 27. Tổ chức thực hiện và rà soát</w:t>
      </w:r>
    </w:p>
    <w:p w14:paraId="44FCA04E" w14:textId="3F0B4565"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 xml:space="preserve">1.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chủ trì phổ biến Quy chế, tổ chức áp dụng QT-01 đến QT-07 và biểu mẫu; hướng dẫn lập bằng chứng và báo cáo kết quả.</w:t>
      </w:r>
    </w:p>
    <w:p w14:paraId="2A9EA4C8"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2. Quy chế, quy trình và tài liệu liên quan được rà soát tối thiểu 01 lần/năm và ngay khi thay đổi pháp luật, cơ cấu, vai trò chủ quản/đơn vị vận hành, kiến trúc, cấp độ, dữ liệu, dịch vụ thuê ngoài hoặc sau sự cố nghiêm trọng.</w:t>
      </w:r>
    </w:p>
    <w:p w14:paraId="23245B55" w14:textId="77777777" w:rsidR="00B53CCE" w:rsidRPr="0025103D" w:rsidRDefault="00B53CCE" w:rsidP="004C4771">
      <w:pPr>
        <w:jc w:val="both"/>
        <w:rPr>
          <w:rFonts w:ascii="Times New Roman" w:hAnsi="Times New Roman" w:cs="Times New Roman"/>
          <w:sz w:val="26"/>
          <w:szCs w:val="26"/>
        </w:rPr>
      </w:pPr>
      <w:r w:rsidRPr="0025103D">
        <w:rPr>
          <w:rFonts w:ascii="Times New Roman" w:hAnsi="Times New Roman" w:cs="Times New Roman"/>
          <w:sz w:val="26"/>
          <w:szCs w:val="26"/>
        </w:rPr>
        <w:t>3. Đối với dự án/hệ thống thuộc trường hợp chuyển tiếp tại Điều 39 Nghị định số 331/2026/NĐ-CP, hồ sơ thẩm định, phê duyệt theo Nghị định số 85/2016/NĐ-CP chỉ được tiếp tục trong thời hạn chuyển tiếp; các điều kiện, tiêu chuẩn và biện pháp bảo vệ phải hoàn thành theo Nghị định số 331/2026/NĐ-CP chậm nhất trong thời hạn 12 tháng kể từ ngày 01/7/2026. Hồ sơ lập mới sau ngày 19/8/2026 áp dụng Nghị định số 331/2026/NĐ-CP và TCVN 14423:2026.</w:t>
      </w:r>
    </w:p>
    <w:p w14:paraId="72FEB947" w14:textId="052E3855" w:rsidR="00B53CCE" w:rsidRPr="003F6477" w:rsidRDefault="00B53CCE" w:rsidP="003F6477">
      <w:pPr>
        <w:jc w:val="both"/>
        <w:rPr>
          <w:rFonts w:ascii="Times New Roman" w:hAnsi="Times New Roman" w:cs="Times New Roman"/>
          <w:sz w:val="26"/>
          <w:szCs w:val="26"/>
        </w:rPr>
      </w:pPr>
      <w:r w:rsidRPr="0025103D">
        <w:rPr>
          <w:rFonts w:ascii="Times New Roman" w:hAnsi="Times New Roman" w:cs="Times New Roman"/>
          <w:sz w:val="26"/>
          <w:szCs w:val="26"/>
        </w:rPr>
        <w:t xml:space="preserve">4. Các khoa, phòng, cá nhân và nhà cung cấp có trách nhiệm thi hành. Khó khăn, vướng mắc được phản ánh về Phòng </w:t>
      </w:r>
      <w:r w:rsidR="000B6CA9">
        <w:rPr>
          <w:rFonts w:ascii="Times New Roman" w:hAnsi="Times New Roman" w:cs="Times New Roman"/>
          <w:sz w:val="26"/>
          <w:szCs w:val="26"/>
        </w:rPr>
        <w:t>Kế hoạch tổng hợp</w:t>
      </w:r>
      <w:r w:rsidRPr="0025103D">
        <w:rPr>
          <w:rFonts w:ascii="Times New Roman" w:hAnsi="Times New Roman" w:cs="Times New Roman"/>
          <w:sz w:val="26"/>
          <w:szCs w:val="26"/>
        </w:rPr>
        <w:t xml:space="preserve"> để tổng hợp, trình Giám đốc </w:t>
      </w:r>
      <w:r w:rsidR="00AE538E">
        <w:rPr>
          <w:rFonts w:ascii="Times New Roman" w:hAnsi="Times New Roman" w:cs="Times New Roman"/>
          <w:sz w:val="26"/>
          <w:szCs w:val="26"/>
        </w:rPr>
        <w:t>Bệnh viện</w:t>
      </w:r>
      <w:r w:rsidRPr="0025103D">
        <w:rPr>
          <w:rFonts w:ascii="Times New Roman" w:hAnsi="Times New Roman" w:cs="Times New Roman"/>
          <w:sz w:val="26"/>
          <w:szCs w:val="26"/>
        </w:rPr>
        <w:t xml:space="preserve"> xem xét sửa đổi</w:t>
      </w:r>
      <w:r w:rsidR="003F6477">
        <w:rPr>
          <w:rFonts w:ascii="Times New Roman" w:hAnsi="Times New Roman" w:cs="Times New Roman"/>
          <w:sz w:val="26"/>
          <w:szCs w:val="26"/>
        </w:rPr>
        <w:t>.</w:t>
      </w:r>
    </w:p>
    <w:sectPr w:rsidR="00B53CCE" w:rsidRPr="003F6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CE"/>
    <w:rsid w:val="00086D84"/>
    <w:rsid w:val="000B6CA9"/>
    <w:rsid w:val="0025103D"/>
    <w:rsid w:val="002F51DD"/>
    <w:rsid w:val="00337C53"/>
    <w:rsid w:val="003F6477"/>
    <w:rsid w:val="004329E8"/>
    <w:rsid w:val="0044227F"/>
    <w:rsid w:val="004C4771"/>
    <w:rsid w:val="005A714D"/>
    <w:rsid w:val="007F1EEB"/>
    <w:rsid w:val="009E1399"/>
    <w:rsid w:val="00A97B74"/>
    <w:rsid w:val="00AE538E"/>
    <w:rsid w:val="00B53CCE"/>
    <w:rsid w:val="00C03833"/>
    <w:rsid w:val="00D57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51513"/>
  <w15:chartTrackingRefBased/>
  <w15:docId w15:val="{41A34832-102E-4242-AAD3-C52F7C2AB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CCE"/>
    <w:rPr>
      <w:rFonts w:eastAsiaTheme="majorEastAsia" w:cstheme="majorBidi"/>
      <w:color w:val="272727" w:themeColor="text1" w:themeTint="D8"/>
    </w:rPr>
  </w:style>
  <w:style w:type="paragraph" w:styleId="Title">
    <w:name w:val="Title"/>
    <w:basedOn w:val="Normal"/>
    <w:next w:val="Normal"/>
    <w:link w:val="TitleChar"/>
    <w:uiPriority w:val="10"/>
    <w:qFormat/>
    <w:rsid w:val="00B53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CCE"/>
    <w:pPr>
      <w:spacing w:before="160"/>
      <w:jc w:val="center"/>
    </w:pPr>
    <w:rPr>
      <w:i/>
      <w:iCs/>
      <w:color w:val="404040" w:themeColor="text1" w:themeTint="BF"/>
    </w:rPr>
  </w:style>
  <w:style w:type="character" w:customStyle="1" w:styleId="QuoteChar">
    <w:name w:val="Quote Char"/>
    <w:basedOn w:val="DefaultParagraphFont"/>
    <w:link w:val="Quote"/>
    <w:uiPriority w:val="29"/>
    <w:rsid w:val="00B53CCE"/>
    <w:rPr>
      <w:i/>
      <w:iCs/>
      <w:color w:val="404040" w:themeColor="text1" w:themeTint="BF"/>
    </w:rPr>
  </w:style>
  <w:style w:type="paragraph" w:styleId="ListParagraph">
    <w:name w:val="List Paragraph"/>
    <w:basedOn w:val="Normal"/>
    <w:uiPriority w:val="34"/>
    <w:qFormat/>
    <w:rsid w:val="00B53CCE"/>
    <w:pPr>
      <w:ind w:left="720"/>
      <w:contextualSpacing/>
    </w:pPr>
  </w:style>
  <w:style w:type="character" w:styleId="IntenseEmphasis">
    <w:name w:val="Intense Emphasis"/>
    <w:basedOn w:val="DefaultParagraphFont"/>
    <w:uiPriority w:val="21"/>
    <w:qFormat/>
    <w:rsid w:val="00B53CCE"/>
    <w:rPr>
      <w:i/>
      <w:iCs/>
      <w:color w:val="0F4761" w:themeColor="accent1" w:themeShade="BF"/>
    </w:rPr>
  </w:style>
  <w:style w:type="paragraph" w:styleId="IntenseQuote">
    <w:name w:val="Intense Quote"/>
    <w:basedOn w:val="Normal"/>
    <w:next w:val="Normal"/>
    <w:link w:val="IntenseQuoteChar"/>
    <w:uiPriority w:val="30"/>
    <w:qFormat/>
    <w:rsid w:val="00B53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CCE"/>
    <w:rPr>
      <w:i/>
      <w:iCs/>
      <w:color w:val="0F4761" w:themeColor="accent1" w:themeShade="BF"/>
    </w:rPr>
  </w:style>
  <w:style w:type="character" w:styleId="IntenseReference">
    <w:name w:val="Intense Reference"/>
    <w:basedOn w:val="DefaultParagraphFont"/>
    <w:uiPriority w:val="32"/>
    <w:qFormat/>
    <w:rsid w:val="00B53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3744</Words>
  <Characters>21342</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Thế Cường</dc:creator>
  <cp:keywords/>
  <dc:description/>
  <cp:lastModifiedBy>Lê Nhật Quang</cp:lastModifiedBy>
  <cp:revision>13</cp:revision>
  <dcterms:created xsi:type="dcterms:W3CDTF">2026-08-24T19:51:00Z</dcterms:created>
  <dcterms:modified xsi:type="dcterms:W3CDTF">2026-09-07T01:11:00Z</dcterms:modified>
</cp:coreProperties>
</file>