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16F16C8">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a5"/>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a5"/>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a5"/>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a5"/>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a5"/>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a5"/>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a5"/>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a5"/>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AF94321"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352800F0"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a5"/>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28CC6159" w14:textId="1F7B3BA6" w:rsidR="00FD2FEB" w:rsidRPr="00FD2FEB" w:rsidRDefault="00FD2FEB" w:rsidP="00FD2FEB">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lastRenderedPageBreak/>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7FE0E2F0">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האוקלידי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=מספר הדוגמאות בסט האימון לא תהיה תלות בפונקציית המרחק שכן הדוגמה תסווג לפי כל הדוגמאות, כלומר כל דוגמה תסווג לחיוביצ/שלילית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נסווג לפי מרחק אוקלידי:</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7B18E7FF"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הדגומאות.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a5"/>
        <w:bidi/>
        <w:ind w:left="1080" w:right="-284"/>
        <w:rPr>
          <w:rFonts w:asciiTheme="majorHAnsi" w:hAnsiTheme="majorHAnsi" w:cstheme="majorHAnsi"/>
          <w:b/>
          <w:bCs/>
          <w:lang w:val="en-GB"/>
        </w:rPr>
      </w:pPr>
    </w:p>
    <w:p w14:paraId="408F0E1E" w14:textId="49A817E6"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13A88D33"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6FA0C4EB"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3CB0AF2">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3F07AA0" w:rsid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קיבלנו דיוק של 98</w:t>
      </w:r>
      <w:r w:rsidR="00765367">
        <w:rPr>
          <w:rFonts w:asciiTheme="majorHAnsi" w:hAnsiTheme="majorHAnsi" w:cstheme="majorHAnsi" w:hint="cs"/>
          <w:b/>
          <w:bCs/>
          <w:rtl/>
        </w:rPr>
        <w:t>.06</w:t>
      </w:r>
      <w:r>
        <w:rPr>
          <w:rFonts w:asciiTheme="majorHAnsi" w:hAnsiTheme="majorHAnsi" w:cstheme="majorHAnsi" w:hint="cs"/>
          <w:b/>
          <w:bCs/>
          <w:rtl/>
        </w:rPr>
        <w:t>%</w:t>
      </w:r>
    </w:p>
    <w:p w14:paraId="6843C295" w14:textId="77777777" w:rsidR="00554841" w:rsidRPr="00554841" w:rsidRDefault="00554841" w:rsidP="00554841">
      <w:pPr>
        <w:pStyle w:val="a5"/>
        <w:bidi/>
        <w:ind w:left="1440"/>
        <w:rPr>
          <w:rFonts w:asciiTheme="majorHAnsi" w:hAnsiTheme="majorHAnsi" w:cstheme="majorHAnsi"/>
          <w:b/>
          <w:bCs/>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BD8B601">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a5"/>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5941E566"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35EE1D4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6A9261A6"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5AD4AC0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77678E8D">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1AD9A7FD"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729C75FE">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1ADEDBA1">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D9B1" w14:textId="77777777" w:rsidR="0070384B" w:rsidRDefault="0070384B" w:rsidP="005427B3">
      <w:r>
        <w:separator/>
      </w:r>
    </w:p>
  </w:endnote>
  <w:endnote w:type="continuationSeparator" w:id="0">
    <w:p w14:paraId="2786B803" w14:textId="77777777" w:rsidR="0070384B" w:rsidRDefault="0070384B"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1AAD" w14:textId="77777777" w:rsidR="0070384B" w:rsidRDefault="0070384B" w:rsidP="005427B3">
      <w:r>
        <w:separator/>
      </w:r>
    </w:p>
  </w:footnote>
  <w:footnote w:type="continuationSeparator" w:id="0">
    <w:p w14:paraId="5BF78673" w14:textId="77777777" w:rsidR="0070384B" w:rsidRDefault="0070384B"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3C1"/>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290C"/>
    <w:rsid w:val="00355A35"/>
    <w:rsid w:val="00360442"/>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2FC5"/>
    <w:rsid w:val="006D3482"/>
    <w:rsid w:val="006D39D1"/>
    <w:rsid w:val="006D7B2A"/>
    <w:rsid w:val="006E2278"/>
    <w:rsid w:val="006E56CC"/>
    <w:rsid w:val="006E5C4D"/>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142DF"/>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203"/>
    <w:rsid w:val="00ED1A44"/>
    <w:rsid w:val="00ED23E3"/>
    <w:rsid w:val="00ED2E85"/>
    <w:rsid w:val="00EE5710"/>
    <w:rsid w:val="00EE605F"/>
    <w:rsid w:val="00EE6F6D"/>
    <w:rsid w:val="00EF0895"/>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2469"/>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19</Pages>
  <Words>3780</Words>
  <Characters>18904</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43</cp:revision>
  <cp:lastPrinted>2023-01-10T18:48:00Z</cp:lastPrinted>
  <dcterms:created xsi:type="dcterms:W3CDTF">2022-06-08T18:04:00Z</dcterms:created>
  <dcterms:modified xsi:type="dcterms:W3CDTF">2024-03-26T05:44:00Z</dcterms:modified>
</cp:coreProperties>
</file>