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AEB2E" w14:textId="439A72F7" w:rsidR="00C339E0" w:rsidRPr="002C65A0" w:rsidRDefault="003E05C4">
      <w:pPr>
        <w:rPr>
          <w:rFonts w:ascii="Arial" w:hAnsi="Arial" w:cs="Arial"/>
          <w:b/>
          <w:bCs/>
        </w:rPr>
      </w:pPr>
      <w:r w:rsidRPr="002C65A0">
        <w:rPr>
          <w:rFonts w:ascii="Arial" w:hAnsi="Arial" w:cs="Arial"/>
          <w:b/>
          <w:bCs/>
          <w:sz w:val="22"/>
          <w:szCs w:val="18"/>
        </w:rPr>
        <w:t xml:space="preserve">High Level Life-Cycle Analysis </w:t>
      </w:r>
      <w:r w:rsidRPr="002C65A0">
        <w:rPr>
          <w:rFonts w:ascii="Arial" w:hAnsi="Arial" w:cs="Arial"/>
          <w:b/>
          <w:bCs/>
        </w:rPr>
        <w:t>of a Variable Messag</w:t>
      </w:r>
      <w:r w:rsidR="002C65A0">
        <w:rPr>
          <w:rFonts w:ascii="Arial" w:hAnsi="Arial" w:cs="Arial"/>
          <w:b/>
          <w:bCs/>
        </w:rPr>
        <w:t>e</w:t>
      </w:r>
      <w:r w:rsidRPr="002C65A0">
        <w:rPr>
          <w:rFonts w:ascii="Arial" w:hAnsi="Arial" w:cs="Arial"/>
          <w:b/>
          <w:bCs/>
        </w:rPr>
        <w:t xml:space="preserve"> Sign</w:t>
      </w:r>
      <w:r w:rsidR="005A5F94" w:rsidRPr="002C65A0">
        <w:rPr>
          <w:rFonts w:ascii="Arial" w:hAnsi="Arial" w:cs="Arial"/>
          <w:b/>
          <w:bCs/>
        </w:rPr>
        <w:t xml:space="preserve"> from de</w:t>
      </w:r>
      <w:r w:rsidR="002C65A0" w:rsidRPr="002C65A0">
        <w:rPr>
          <w:rFonts w:ascii="Arial" w:hAnsi="Arial" w:cs="Arial"/>
          <w:b/>
          <w:bCs/>
        </w:rPr>
        <w:t>s</w:t>
      </w:r>
      <w:r w:rsidR="005A5F94" w:rsidRPr="002C65A0">
        <w:rPr>
          <w:rFonts w:ascii="Arial" w:hAnsi="Arial" w:cs="Arial"/>
          <w:b/>
          <w:bCs/>
        </w:rPr>
        <w:t>ign to final</w:t>
      </w:r>
      <w:r w:rsidRPr="002C65A0">
        <w:rPr>
          <w:rFonts w:ascii="Arial" w:hAnsi="Arial" w:cs="Arial"/>
          <w:b/>
          <w:bCs/>
        </w:rPr>
        <w:t xml:space="preserve"> </w:t>
      </w:r>
      <w:r w:rsidR="005A5F94" w:rsidRPr="002C65A0">
        <w:rPr>
          <w:rFonts w:ascii="Arial" w:hAnsi="Arial" w:cs="Arial"/>
          <w:b/>
          <w:bCs/>
        </w:rPr>
        <w:t>disposal.</w:t>
      </w:r>
    </w:p>
    <w:p w14:paraId="49D27DD4" w14:textId="77777777" w:rsidR="00C339E0" w:rsidRDefault="00C339E0"/>
    <w:tbl>
      <w:tblPr>
        <w:tblW w:w="14459" w:type="dxa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2127"/>
        <w:gridCol w:w="1639"/>
        <w:gridCol w:w="1883"/>
        <w:gridCol w:w="1884"/>
        <w:gridCol w:w="1883"/>
        <w:gridCol w:w="1883"/>
        <w:gridCol w:w="1884"/>
      </w:tblGrid>
      <w:tr w:rsidR="00C339E0" w:rsidRPr="00736389" w14:paraId="4321E743" w14:textId="77777777" w:rsidTr="00C339E0">
        <w:trPr>
          <w:cantSplit/>
          <w:trHeight w:val="503"/>
          <w:tblHeader/>
        </w:trPr>
        <w:tc>
          <w:tcPr>
            <w:tcW w:w="1276" w:type="dxa"/>
            <w:shd w:val="clear" w:color="auto" w:fill="00B0F0"/>
            <w:vAlign w:val="center"/>
          </w:tcPr>
          <w:p w14:paraId="4DA8EDCD" w14:textId="180E2429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Life-Cycle Stage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64B7B234" w14:textId="77777777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Activity</w:t>
            </w:r>
          </w:p>
        </w:tc>
        <w:tc>
          <w:tcPr>
            <w:tcW w:w="1639" w:type="dxa"/>
            <w:shd w:val="clear" w:color="auto" w:fill="00B0F0"/>
            <w:vAlign w:val="center"/>
          </w:tcPr>
          <w:p w14:paraId="763C61D5" w14:textId="77777777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Aspects</w:t>
            </w:r>
          </w:p>
        </w:tc>
        <w:tc>
          <w:tcPr>
            <w:tcW w:w="1883" w:type="dxa"/>
            <w:shd w:val="clear" w:color="auto" w:fill="00B0F0"/>
            <w:vAlign w:val="center"/>
          </w:tcPr>
          <w:p w14:paraId="05822CA2" w14:textId="77777777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Impacts</w:t>
            </w:r>
          </w:p>
        </w:tc>
        <w:tc>
          <w:tcPr>
            <w:tcW w:w="1884" w:type="dxa"/>
            <w:shd w:val="clear" w:color="auto" w:fill="00B0F0"/>
            <w:vAlign w:val="center"/>
          </w:tcPr>
          <w:p w14:paraId="6DF6E6E4" w14:textId="77777777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Control or Influence</w:t>
            </w:r>
          </w:p>
        </w:tc>
        <w:tc>
          <w:tcPr>
            <w:tcW w:w="1883" w:type="dxa"/>
            <w:shd w:val="clear" w:color="auto" w:fill="00B0F0"/>
            <w:vAlign w:val="center"/>
          </w:tcPr>
          <w:p w14:paraId="3404A0D4" w14:textId="77777777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Risks</w:t>
            </w:r>
          </w:p>
        </w:tc>
        <w:tc>
          <w:tcPr>
            <w:tcW w:w="1883" w:type="dxa"/>
            <w:shd w:val="clear" w:color="auto" w:fill="00B0F0"/>
            <w:vAlign w:val="center"/>
          </w:tcPr>
          <w:p w14:paraId="309AC35A" w14:textId="77777777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Opportunities</w:t>
            </w:r>
          </w:p>
        </w:tc>
        <w:tc>
          <w:tcPr>
            <w:tcW w:w="1884" w:type="dxa"/>
            <w:shd w:val="clear" w:color="auto" w:fill="00B0F0"/>
            <w:vAlign w:val="center"/>
          </w:tcPr>
          <w:p w14:paraId="3C452179" w14:textId="77777777" w:rsidR="00C339E0" w:rsidRPr="002C65A0" w:rsidRDefault="00C339E0" w:rsidP="002C65A0">
            <w:pPr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b/>
                <w:bCs/>
                <w:color w:val="FFFFFF" w:themeColor="background1"/>
                <w:sz w:val="18"/>
                <w:szCs w:val="18"/>
              </w:rPr>
              <w:t>Operation Control</w:t>
            </w:r>
          </w:p>
        </w:tc>
      </w:tr>
      <w:tr w:rsidR="00C339E0" w:rsidRPr="00736389" w14:paraId="2115A5DB" w14:textId="77777777" w:rsidTr="002B4374">
        <w:trPr>
          <w:cantSplit/>
          <w:trHeight w:val="711"/>
          <w:tblHeader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6B1DA0C" w14:textId="6455BD57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Life</w:t>
            </w:r>
            <w:r w:rsid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-</w:t>
            </w: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cycle stage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006B6A1" w14:textId="77777777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Example activity</w:t>
            </w:r>
          </w:p>
        </w:tc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4C992823" w14:textId="77777777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Example aspect(s)</w:t>
            </w:r>
          </w:p>
        </w:tc>
        <w:tc>
          <w:tcPr>
            <w:tcW w:w="1883" w:type="dxa"/>
            <w:shd w:val="clear" w:color="auto" w:fill="F2F2F2" w:themeFill="background1" w:themeFillShade="F2"/>
            <w:vAlign w:val="center"/>
          </w:tcPr>
          <w:p w14:paraId="2AA5A50D" w14:textId="77777777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Example impact(s)</w:t>
            </w:r>
          </w:p>
        </w:tc>
        <w:tc>
          <w:tcPr>
            <w:tcW w:w="1884" w:type="dxa"/>
            <w:shd w:val="clear" w:color="auto" w:fill="F2F2F2" w:themeFill="background1" w:themeFillShade="F2"/>
            <w:vAlign w:val="center"/>
          </w:tcPr>
          <w:p w14:paraId="2FB9B180" w14:textId="77777777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Possible considerations for control or influence?</w:t>
            </w:r>
          </w:p>
        </w:tc>
        <w:tc>
          <w:tcPr>
            <w:tcW w:w="1883" w:type="dxa"/>
            <w:shd w:val="clear" w:color="auto" w:fill="F2F2F2" w:themeFill="background1" w:themeFillShade="F2"/>
            <w:vAlign w:val="center"/>
          </w:tcPr>
          <w:p w14:paraId="01DB43CF" w14:textId="77777777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Example risks to the organisation</w:t>
            </w:r>
          </w:p>
        </w:tc>
        <w:tc>
          <w:tcPr>
            <w:tcW w:w="1883" w:type="dxa"/>
            <w:shd w:val="clear" w:color="auto" w:fill="F2F2F2" w:themeFill="background1" w:themeFillShade="F2"/>
            <w:vAlign w:val="center"/>
          </w:tcPr>
          <w:p w14:paraId="53C51A8A" w14:textId="6211C316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Example opportunities for the organi</w:t>
            </w:r>
            <w:r w:rsid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s</w:t>
            </w: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ation</w:t>
            </w:r>
          </w:p>
        </w:tc>
        <w:tc>
          <w:tcPr>
            <w:tcW w:w="1884" w:type="dxa"/>
            <w:shd w:val="clear" w:color="auto" w:fill="F2F2F2" w:themeFill="background1" w:themeFillShade="F2"/>
            <w:vAlign w:val="center"/>
          </w:tcPr>
          <w:p w14:paraId="4B97FEC5" w14:textId="77777777" w:rsidR="00C339E0" w:rsidRPr="002C65A0" w:rsidRDefault="00C339E0" w:rsidP="002C65A0">
            <w:pPr>
              <w:pStyle w:val="Default"/>
              <w:rPr>
                <w:rFonts w:ascii="Arial Narrow" w:hAnsi="Arial Narrow" w:cs="Segoe UI"/>
                <w:b/>
                <w:bCs/>
                <w:sz w:val="16"/>
                <w:szCs w:val="16"/>
              </w:rPr>
            </w:pPr>
            <w:r w:rsidRPr="002C65A0">
              <w:rPr>
                <w:rFonts w:ascii="Arial Narrow" w:hAnsi="Arial Narrow" w:cs="Segoe UI"/>
                <w:b/>
                <w:bCs/>
                <w:sz w:val="16"/>
                <w:szCs w:val="16"/>
              </w:rPr>
              <w:t>Examples of actions including operational control or influence</w:t>
            </w:r>
          </w:p>
        </w:tc>
      </w:tr>
      <w:tr w:rsidR="00C339E0" w:rsidRPr="00736389" w14:paraId="76C640BB" w14:textId="77777777" w:rsidTr="005B1D3B">
        <w:trPr>
          <w:cantSplit/>
          <w:trHeight w:val="1241"/>
        </w:trPr>
        <w:tc>
          <w:tcPr>
            <w:tcW w:w="1276" w:type="dxa"/>
            <w:shd w:val="clear" w:color="auto" w:fill="auto"/>
            <w:vAlign w:val="center"/>
          </w:tcPr>
          <w:p w14:paraId="568897AD" w14:textId="77777777" w:rsidR="00C339E0" w:rsidRPr="002C65A0" w:rsidRDefault="00C339E0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Design Stage</w:t>
            </w:r>
          </w:p>
        </w:tc>
        <w:tc>
          <w:tcPr>
            <w:tcW w:w="2127" w:type="dxa"/>
            <w:vAlign w:val="center"/>
          </w:tcPr>
          <w:p w14:paraId="512FAEE0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Choice of Materials -</w:t>
            </w:r>
          </w:p>
          <w:p w14:paraId="2D5497D9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Raw material extraction</w:t>
            </w:r>
          </w:p>
        </w:tc>
        <w:tc>
          <w:tcPr>
            <w:tcW w:w="1639" w:type="dxa"/>
            <w:vAlign w:val="center"/>
          </w:tcPr>
          <w:p w14:paraId="21523CD2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Discharges from mining, fuel combustion. [Pollution]</w:t>
            </w:r>
          </w:p>
        </w:tc>
        <w:tc>
          <w:tcPr>
            <w:tcW w:w="1883" w:type="dxa"/>
            <w:vAlign w:val="center"/>
          </w:tcPr>
          <w:p w14:paraId="6AF407B9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Resource depletion, surface and ground water quality, climate change, air quality </w:t>
            </w:r>
          </w:p>
        </w:tc>
        <w:tc>
          <w:tcPr>
            <w:tcW w:w="1884" w:type="dxa"/>
            <w:vAlign w:val="center"/>
          </w:tcPr>
          <w:p w14:paraId="2ED93054" w14:textId="5E75FC61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Limited influence form INF</w:t>
            </w:r>
            <w:r w:rsid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ATEC o</w:t>
            </w:r>
            <w:r w:rsidR="004725D5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n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suppliers’ processes </w:t>
            </w:r>
          </w:p>
        </w:tc>
        <w:tc>
          <w:tcPr>
            <w:tcW w:w="1883" w:type="dxa"/>
            <w:vAlign w:val="center"/>
          </w:tcPr>
          <w:p w14:paraId="5D1FE48D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Unavailability of raw materials and parts due to depletion of natural resources </w:t>
            </w:r>
          </w:p>
        </w:tc>
        <w:tc>
          <w:tcPr>
            <w:tcW w:w="1883" w:type="dxa"/>
            <w:vAlign w:val="center"/>
          </w:tcPr>
          <w:p w14:paraId="2B8FCD7D" w14:textId="0276B9BA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Securing a source of strategically important materials to ensure business continuity</w:t>
            </w:r>
            <w:r w:rsidR="004725D5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.</w:t>
            </w:r>
          </w:p>
        </w:tc>
        <w:tc>
          <w:tcPr>
            <w:tcW w:w="1884" w:type="dxa"/>
            <w:vAlign w:val="center"/>
          </w:tcPr>
          <w:p w14:paraId="46CB0D33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Establish environmental requirements in the design process, relating to material use </w:t>
            </w:r>
          </w:p>
        </w:tc>
      </w:tr>
      <w:tr w:rsidR="00C339E0" w:rsidRPr="00736389" w14:paraId="0D706CC6" w14:textId="77777777" w:rsidTr="005B1D3B">
        <w:trPr>
          <w:cantSplit/>
          <w:trHeight w:val="1542"/>
        </w:trPr>
        <w:tc>
          <w:tcPr>
            <w:tcW w:w="1276" w:type="dxa"/>
            <w:shd w:val="clear" w:color="auto" w:fill="auto"/>
            <w:vAlign w:val="center"/>
          </w:tcPr>
          <w:p w14:paraId="2EAE32A8" w14:textId="77777777" w:rsidR="00C339E0" w:rsidRPr="002C65A0" w:rsidRDefault="00C339E0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Supply chain</w:t>
            </w:r>
          </w:p>
        </w:tc>
        <w:tc>
          <w:tcPr>
            <w:tcW w:w="2127" w:type="dxa"/>
            <w:vAlign w:val="center"/>
          </w:tcPr>
          <w:p w14:paraId="2A0DC9A7" w14:textId="52BE3F25" w:rsidR="004725D5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Material/component processing.</w:t>
            </w:r>
            <w:r w:rsid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</w:t>
            </w:r>
            <w:r w:rsidR="004725D5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VMS Enclosure</w:t>
            </w:r>
          </w:p>
        </w:tc>
        <w:tc>
          <w:tcPr>
            <w:tcW w:w="1639" w:type="dxa"/>
            <w:vAlign w:val="center"/>
          </w:tcPr>
          <w:p w14:paraId="62990D13" w14:textId="77777777" w:rsidR="004725D5" w:rsidRPr="002C65A0" w:rsidRDefault="004725D5" w:rsidP="004725D5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Material waste, </w:t>
            </w:r>
          </w:p>
          <w:p w14:paraId="2497708A" w14:textId="77777777" w:rsidR="004725D5" w:rsidRPr="002C65A0" w:rsidRDefault="004725D5" w:rsidP="004725D5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energy use</w:t>
            </w:r>
          </w:p>
          <w:p w14:paraId="24B02100" w14:textId="77777777" w:rsidR="004725D5" w:rsidRPr="002C65A0" w:rsidRDefault="004725D5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Discharges from mining,</w:t>
            </w:r>
          </w:p>
          <w:p w14:paraId="6DFDE79A" w14:textId="33B33629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fuel combustion, waste generation</w:t>
            </w:r>
          </w:p>
        </w:tc>
        <w:tc>
          <w:tcPr>
            <w:tcW w:w="1883" w:type="dxa"/>
            <w:vAlign w:val="center"/>
          </w:tcPr>
          <w:p w14:paraId="006E16FE" w14:textId="77777777" w:rsidR="004725D5" w:rsidRPr="002C65A0" w:rsidRDefault="004725D5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Resource depletion </w:t>
            </w:r>
          </w:p>
          <w:p w14:paraId="40AAFA47" w14:textId="64392C8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Human toxicity, landfill use, climate change, air quality</w:t>
            </w:r>
          </w:p>
        </w:tc>
        <w:tc>
          <w:tcPr>
            <w:tcW w:w="1884" w:type="dxa"/>
            <w:vAlign w:val="center"/>
          </w:tcPr>
          <w:p w14:paraId="1DFFEFCC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Limited influence of suppliers’ processes </w:t>
            </w:r>
          </w:p>
          <w:p w14:paraId="75F4CC8E" w14:textId="1785E75A" w:rsidR="00CF3E4C" w:rsidRPr="002C65A0" w:rsidRDefault="004725D5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Can influence through supplier selection</w:t>
            </w:r>
          </w:p>
        </w:tc>
        <w:tc>
          <w:tcPr>
            <w:tcW w:w="1883" w:type="dxa"/>
            <w:vAlign w:val="center"/>
          </w:tcPr>
          <w:p w14:paraId="669041E2" w14:textId="77777777" w:rsidR="00CF3E4C" w:rsidRPr="002C65A0" w:rsidRDefault="00CF3E4C" w:rsidP="00CF3E4C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Cost of part increases </w:t>
            </w:r>
          </w:p>
          <w:p w14:paraId="72C11A21" w14:textId="77777777" w:rsidR="00CF3E4C" w:rsidRPr="002C65A0" w:rsidRDefault="00CF3E4C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</w:p>
          <w:p w14:paraId="4B585E18" w14:textId="473C637A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Unavailability of raw materials and parts due to depletion of natural resources</w:t>
            </w:r>
          </w:p>
        </w:tc>
        <w:tc>
          <w:tcPr>
            <w:tcW w:w="1883" w:type="dxa"/>
            <w:vAlign w:val="center"/>
          </w:tcPr>
          <w:p w14:paraId="181E97F6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Securing a source of strategically important materials to ensure business continuity</w:t>
            </w:r>
          </w:p>
        </w:tc>
        <w:tc>
          <w:tcPr>
            <w:tcW w:w="1884" w:type="dxa"/>
            <w:vAlign w:val="center"/>
          </w:tcPr>
          <w:p w14:paraId="68B878A7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Review resource scarcity vulnerability of supply chain. </w:t>
            </w:r>
          </w:p>
          <w:p w14:paraId="07F99908" w14:textId="6159F5FC" w:rsidR="00C339E0" w:rsidRPr="002C65A0" w:rsidRDefault="00623FB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Suppliers/contractors preferred to be ISO 14001 certified</w:t>
            </w:r>
          </w:p>
        </w:tc>
      </w:tr>
      <w:tr w:rsidR="00C339E0" w:rsidRPr="00736389" w14:paraId="1C4E8242" w14:textId="77777777" w:rsidTr="005B1D3B">
        <w:trPr>
          <w:cantSplit/>
          <w:trHeight w:val="1537"/>
        </w:trPr>
        <w:tc>
          <w:tcPr>
            <w:tcW w:w="1276" w:type="dxa"/>
            <w:shd w:val="clear" w:color="auto" w:fill="auto"/>
            <w:vAlign w:val="center"/>
          </w:tcPr>
          <w:p w14:paraId="2D09A97E" w14:textId="77777777" w:rsidR="00C339E0" w:rsidRPr="002C65A0" w:rsidRDefault="00C339E0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Supply chain</w:t>
            </w:r>
          </w:p>
        </w:tc>
        <w:tc>
          <w:tcPr>
            <w:tcW w:w="2127" w:type="dxa"/>
            <w:vAlign w:val="center"/>
          </w:tcPr>
          <w:p w14:paraId="66B81E23" w14:textId="7EA06C3C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Part supplier</w:t>
            </w:r>
            <w:r w:rsidR="004725D5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PCB’s LED’s etc</w:t>
            </w:r>
          </w:p>
        </w:tc>
        <w:tc>
          <w:tcPr>
            <w:tcW w:w="1639" w:type="dxa"/>
            <w:vAlign w:val="center"/>
          </w:tcPr>
          <w:p w14:paraId="2151F590" w14:textId="77777777" w:rsidR="004725D5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Material waste, </w:t>
            </w:r>
          </w:p>
          <w:p w14:paraId="3C645DEC" w14:textId="77777777" w:rsidR="004725D5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energy </w:t>
            </w:r>
            <w:r w:rsidR="004725D5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use</w:t>
            </w:r>
          </w:p>
          <w:p w14:paraId="40691CFA" w14:textId="1382ED5D" w:rsidR="00C339E0" w:rsidRPr="002C65A0" w:rsidRDefault="004725D5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Filtration of heavy metals, fuel co</w:t>
            </w:r>
            <w:r w:rsidR="00C339E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nsumption, air emissions, water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discharges</w:t>
            </w:r>
            <w:r w:rsidR="00C339E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, water consumption</w:t>
            </w:r>
          </w:p>
        </w:tc>
        <w:tc>
          <w:tcPr>
            <w:tcW w:w="1883" w:type="dxa"/>
            <w:vAlign w:val="center"/>
          </w:tcPr>
          <w:p w14:paraId="1B896AC1" w14:textId="5BB8E8FC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Resource depletion, air quality, water quality, climate change</w:t>
            </w:r>
          </w:p>
        </w:tc>
        <w:tc>
          <w:tcPr>
            <w:tcW w:w="1884" w:type="dxa"/>
            <w:vAlign w:val="center"/>
          </w:tcPr>
          <w:p w14:paraId="01D12FFB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No control or influence over design or supplier’s manufacturing methods. </w:t>
            </w:r>
          </w:p>
          <w:p w14:paraId="6BDF29AA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</w:p>
          <w:p w14:paraId="512A56B2" w14:textId="40037B6B" w:rsidR="00CF3E4C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Can influence through supplier selection</w:t>
            </w:r>
          </w:p>
        </w:tc>
        <w:tc>
          <w:tcPr>
            <w:tcW w:w="1883" w:type="dxa"/>
            <w:vAlign w:val="center"/>
          </w:tcPr>
          <w:p w14:paraId="7E32197B" w14:textId="079A282A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Cost of part increases</w:t>
            </w:r>
          </w:p>
        </w:tc>
        <w:tc>
          <w:tcPr>
            <w:tcW w:w="1883" w:type="dxa"/>
            <w:vAlign w:val="center"/>
          </w:tcPr>
          <w:p w14:paraId="63087B1E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Reduced cost of part due to more efficient logistics/manufacturing methods</w:t>
            </w:r>
          </w:p>
        </w:tc>
        <w:tc>
          <w:tcPr>
            <w:tcW w:w="1884" w:type="dxa"/>
            <w:vAlign w:val="center"/>
          </w:tcPr>
          <w:p w14:paraId="57681C6B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Improved stock control and ordering (reduce occurrence of redundant stock) </w:t>
            </w:r>
          </w:p>
          <w:p w14:paraId="1F265318" w14:textId="4B7D4A62" w:rsidR="00C339E0" w:rsidRPr="002C65A0" w:rsidRDefault="00623FB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Suppliers/contractors preferred to be ISO 14001 certified</w:t>
            </w:r>
          </w:p>
        </w:tc>
      </w:tr>
      <w:tr w:rsidR="00C339E0" w:rsidRPr="00736389" w14:paraId="30D4DFB8" w14:textId="77777777" w:rsidTr="00AB3961">
        <w:trPr>
          <w:cantSplit/>
          <w:trHeight w:val="1974"/>
        </w:trPr>
        <w:tc>
          <w:tcPr>
            <w:tcW w:w="1276" w:type="dxa"/>
            <w:shd w:val="clear" w:color="auto" w:fill="auto"/>
            <w:vAlign w:val="center"/>
          </w:tcPr>
          <w:p w14:paraId="0AE7DCD8" w14:textId="3125B845" w:rsidR="00C339E0" w:rsidRPr="002C65A0" w:rsidRDefault="00623FB4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Assembly /</w:t>
            </w:r>
            <w:r w:rsidR="00C339E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Manufacturing</w:t>
            </w:r>
          </w:p>
        </w:tc>
        <w:tc>
          <w:tcPr>
            <w:tcW w:w="2127" w:type="dxa"/>
            <w:vAlign w:val="center"/>
          </w:tcPr>
          <w:p w14:paraId="7C100D27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Waste metal and energy use</w:t>
            </w:r>
          </w:p>
        </w:tc>
        <w:tc>
          <w:tcPr>
            <w:tcW w:w="1639" w:type="dxa"/>
            <w:vAlign w:val="center"/>
          </w:tcPr>
          <w:p w14:paraId="0ED58456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Use of resources and climate change</w:t>
            </w:r>
          </w:p>
        </w:tc>
        <w:tc>
          <w:tcPr>
            <w:tcW w:w="1883" w:type="dxa"/>
            <w:vAlign w:val="center"/>
          </w:tcPr>
          <w:p w14:paraId="04DEBA5D" w14:textId="1FB5C2A9" w:rsidR="00623FB4" w:rsidRPr="002C65A0" w:rsidRDefault="00623FB4" w:rsidP="00623FB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Air quality, climate change, landfill use</w:t>
            </w:r>
          </w:p>
        </w:tc>
        <w:tc>
          <w:tcPr>
            <w:tcW w:w="1884" w:type="dxa"/>
            <w:vAlign w:val="center"/>
          </w:tcPr>
          <w:p w14:paraId="6FA03110" w14:textId="1A558239" w:rsidR="00C339E0" w:rsidRPr="002C65A0" w:rsidRDefault="00623FB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Control over Assembly / manufacturing methods.</w:t>
            </w:r>
          </w:p>
        </w:tc>
        <w:tc>
          <w:tcPr>
            <w:tcW w:w="1883" w:type="dxa"/>
            <w:vAlign w:val="center"/>
          </w:tcPr>
          <w:p w14:paraId="6F872440" w14:textId="4ABC7BF0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Reduce resource </w:t>
            </w:r>
            <w:r w:rsidR="002C65A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costs.</w:t>
            </w:r>
          </w:p>
          <w:p w14:paraId="2E86ABC1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Improve production efficiencies</w:t>
            </w:r>
          </w:p>
        </w:tc>
        <w:tc>
          <w:tcPr>
            <w:tcW w:w="1883" w:type="dxa"/>
            <w:vAlign w:val="center"/>
          </w:tcPr>
          <w:p w14:paraId="7F77D25E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Reduce errors and scrappage</w:t>
            </w:r>
          </w:p>
        </w:tc>
        <w:tc>
          <w:tcPr>
            <w:tcW w:w="1884" w:type="dxa"/>
            <w:vAlign w:val="center"/>
          </w:tcPr>
          <w:p w14:paraId="32CE5663" w14:textId="2FF3885C" w:rsidR="00C339E0" w:rsidRPr="002C65A0" w:rsidRDefault="00623FB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Assembly /Manufacturing control.</w:t>
            </w:r>
          </w:p>
        </w:tc>
      </w:tr>
      <w:tr w:rsidR="00C339E0" w:rsidRPr="00736389" w14:paraId="44907AD2" w14:textId="77777777" w:rsidTr="005B1D3B">
        <w:trPr>
          <w:cantSplit/>
          <w:trHeight w:val="1375"/>
        </w:trPr>
        <w:tc>
          <w:tcPr>
            <w:tcW w:w="1276" w:type="dxa"/>
            <w:shd w:val="clear" w:color="auto" w:fill="auto"/>
            <w:vAlign w:val="center"/>
          </w:tcPr>
          <w:p w14:paraId="5790962C" w14:textId="67895FBB" w:rsidR="00C339E0" w:rsidRPr="002C65A0" w:rsidRDefault="00C339E0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lastRenderedPageBreak/>
              <w:t>Transport and delivery</w:t>
            </w:r>
          </w:p>
        </w:tc>
        <w:tc>
          <w:tcPr>
            <w:tcW w:w="2127" w:type="dxa"/>
            <w:vAlign w:val="center"/>
          </w:tcPr>
          <w:p w14:paraId="60DDEA94" w14:textId="337EA21E" w:rsidR="00C339E0" w:rsidRPr="002C65A0" w:rsidRDefault="00623FB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Shipped R</w:t>
            </w:r>
            <w:r w:rsidR="00C339E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oad </w:t>
            </w:r>
          </w:p>
        </w:tc>
        <w:tc>
          <w:tcPr>
            <w:tcW w:w="1639" w:type="dxa"/>
            <w:vAlign w:val="center"/>
          </w:tcPr>
          <w:p w14:paraId="3C7D0C61" w14:textId="6CA9615C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Combustion of fuel in vehicle, energy use </w:t>
            </w:r>
            <w:r w:rsidR="00623FB4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National Highways 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distribution centres, and disposal of packaging required for shipping</w:t>
            </w:r>
          </w:p>
        </w:tc>
        <w:tc>
          <w:tcPr>
            <w:tcW w:w="1883" w:type="dxa"/>
            <w:vAlign w:val="center"/>
          </w:tcPr>
          <w:p w14:paraId="2450AC33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Air quality, climate change, landfill use </w:t>
            </w:r>
          </w:p>
        </w:tc>
        <w:tc>
          <w:tcPr>
            <w:tcW w:w="1884" w:type="dxa"/>
            <w:vAlign w:val="center"/>
          </w:tcPr>
          <w:p w14:paraId="45EAD487" w14:textId="1C2A7B5A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Control shipment method through operational controls, transport</w:t>
            </w:r>
            <w:r w:rsidR="00623FB4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euro 6</w:t>
            </w:r>
            <w:r w:rsidR="00CF3E4C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0</w:t>
            </w:r>
            <w:r w:rsidR="00623FB4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wagons, 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design of </w:t>
            </w:r>
            <w:r w:rsidR="00623FB4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packaging recyclable /</w:t>
            </w:r>
            <w:r w:rsidR="00CF3E4C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re-</w:t>
            </w:r>
            <w:r w:rsidR="002C65A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usable</w:t>
            </w:r>
            <w:r w:rsidR="00CF3E4C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.</w:t>
            </w:r>
          </w:p>
        </w:tc>
        <w:tc>
          <w:tcPr>
            <w:tcW w:w="1883" w:type="dxa"/>
            <w:vAlign w:val="center"/>
          </w:tcPr>
          <w:p w14:paraId="5CE81B21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Disruption from extreme weather </w:t>
            </w:r>
          </w:p>
          <w:p w14:paraId="4F65A3E5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Increased transport costs from rising fuel costs</w:t>
            </w:r>
          </w:p>
        </w:tc>
        <w:tc>
          <w:tcPr>
            <w:tcW w:w="1883" w:type="dxa"/>
            <w:vAlign w:val="center"/>
          </w:tcPr>
          <w:p w14:paraId="094D590B" w14:textId="00129949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Reduce transport costs through efficient </w:t>
            </w:r>
            <w:r w:rsidR="002C65A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ordering.</w:t>
            </w:r>
          </w:p>
          <w:p w14:paraId="775DAE18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Positive publicity associated with innovative approach </w:t>
            </w:r>
          </w:p>
        </w:tc>
        <w:tc>
          <w:tcPr>
            <w:tcW w:w="1884" w:type="dxa"/>
            <w:vAlign w:val="center"/>
          </w:tcPr>
          <w:p w14:paraId="5FECCA46" w14:textId="14453053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Work with customers to invest in reusable </w:t>
            </w:r>
            <w:r w:rsidR="002C65A0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packaging.</w:t>
            </w:r>
          </w:p>
          <w:p w14:paraId="1A18CD81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Specify the use of more efficient vehicles and plan for efficient routing </w:t>
            </w:r>
          </w:p>
        </w:tc>
      </w:tr>
      <w:tr w:rsidR="005A5F94" w:rsidRPr="00736389" w14:paraId="6DA2DE33" w14:textId="77777777" w:rsidTr="005B1D3B">
        <w:trPr>
          <w:cantSplit/>
          <w:trHeight w:val="844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75C4A387" w14:textId="22B49F0E" w:rsidR="005A5F94" w:rsidRPr="002C65A0" w:rsidRDefault="005A5F94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End-of-life treatment</w:t>
            </w:r>
          </w:p>
        </w:tc>
        <w:tc>
          <w:tcPr>
            <w:tcW w:w="2127" w:type="dxa"/>
            <w:vMerge w:val="restart"/>
            <w:vAlign w:val="center"/>
          </w:tcPr>
          <w:p w14:paraId="13C258B3" w14:textId="503BAEA0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Disassembly National Highways Stores</w:t>
            </w:r>
          </w:p>
        </w:tc>
        <w:tc>
          <w:tcPr>
            <w:tcW w:w="1639" w:type="dxa"/>
            <w:vAlign w:val="center"/>
          </w:tcPr>
          <w:p w14:paraId="0D5466AA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Recycling of metal  </w:t>
            </w:r>
          </w:p>
          <w:p w14:paraId="21D178D0" w14:textId="3F019DB0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components recyclable / re-usable.</w:t>
            </w:r>
          </w:p>
        </w:tc>
        <w:tc>
          <w:tcPr>
            <w:tcW w:w="1883" w:type="dxa"/>
            <w:vAlign w:val="center"/>
          </w:tcPr>
          <w:p w14:paraId="7C14765C" w14:textId="59189F74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Reduction in virgin resource use and contribution to climate change</w:t>
            </w:r>
          </w:p>
        </w:tc>
        <w:tc>
          <w:tcPr>
            <w:tcW w:w="1884" w:type="dxa"/>
            <w:vAlign w:val="center"/>
          </w:tcPr>
          <w:p w14:paraId="380DAD78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No control (unless undertaking activity) </w:t>
            </w:r>
          </w:p>
          <w:p w14:paraId="7FC4ACC8" w14:textId="030EF556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Influence through design and information on recyclable / re-usable Metal components</w:t>
            </w:r>
          </w:p>
        </w:tc>
        <w:tc>
          <w:tcPr>
            <w:tcW w:w="1883" w:type="dxa"/>
            <w:vAlign w:val="center"/>
          </w:tcPr>
          <w:p w14:paraId="37256CD8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Difficult to recycle composite materials </w:t>
            </w:r>
          </w:p>
        </w:tc>
        <w:tc>
          <w:tcPr>
            <w:tcW w:w="1883" w:type="dxa"/>
            <w:vAlign w:val="center"/>
          </w:tcPr>
          <w:p w14:paraId="31CD5B6F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Increased revenue from being able to offer innovative recycling approach </w:t>
            </w:r>
          </w:p>
        </w:tc>
        <w:tc>
          <w:tcPr>
            <w:tcW w:w="1884" w:type="dxa"/>
            <w:vAlign w:val="center"/>
          </w:tcPr>
          <w:p w14:paraId="2E39774F" w14:textId="49A02DFA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</w:t>
            </w:r>
            <w:r w:rsid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-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design parts to allow separation of materials</w:t>
            </w:r>
          </w:p>
        </w:tc>
      </w:tr>
      <w:tr w:rsidR="005A5F94" w:rsidRPr="00736389" w14:paraId="154CD12E" w14:textId="77777777" w:rsidTr="002B4374">
        <w:trPr>
          <w:cantSplit/>
          <w:trHeight w:val="493"/>
        </w:trPr>
        <w:tc>
          <w:tcPr>
            <w:tcW w:w="1276" w:type="dxa"/>
            <w:vMerge/>
            <w:shd w:val="clear" w:color="auto" w:fill="auto"/>
            <w:vAlign w:val="center"/>
          </w:tcPr>
          <w:p w14:paraId="63D3EBD7" w14:textId="0A34B29B" w:rsidR="005A5F94" w:rsidRPr="002C65A0" w:rsidRDefault="005A5F94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14:paraId="540B8938" w14:textId="15574696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</w:p>
        </w:tc>
        <w:tc>
          <w:tcPr>
            <w:tcW w:w="1639" w:type="dxa"/>
            <w:vAlign w:val="center"/>
          </w:tcPr>
          <w:p w14:paraId="6BEE2908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Electrical components held as spares by National Highways and are Re-usable. </w:t>
            </w:r>
          </w:p>
          <w:p w14:paraId="54DEE975" w14:textId="2110AB3C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Defective Electrical Components are disposed of in compliance with WE</w:t>
            </w:r>
            <w:r w:rsid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E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E.</w:t>
            </w:r>
          </w:p>
        </w:tc>
        <w:tc>
          <w:tcPr>
            <w:tcW w:w="1883" w:type="dxa"/>
            <w:vAlign w:val="center"/>
          </w:tcPr>
          <w:p w14:paraId="06AF0207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Reduction in virgin resource use and contribution to climate change</w:t>
            </w:r>
          </w:p>
        </w:tc>
        <w:tc>
          <w:tcPr>
            <w:tcW w:w="1884" w:type="dxa"/>
            <w:vAlign w:val="center"/>
          </w:tcPr>
          <w:p w14:paraId="02ED75D4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No control (unless undertaking activity) </w:t>
            </w:r>
          </w:p>
          <w:p w14:paraId="6ACDEABA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Influence through design and information on recyclable / re-usable Metal components</w:t>
            </w:r>
          </w:p>
        </w:tc>
        <w:tc>
          <w:tcPr>
            <w:tcW w:w="1883" w:type="dxa"/>
            <w:vAlign w:val="center"/>
          </w:tcPr>
          <w:p w14:paraId="00CA5327" w14:textId="60A29F7F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Difficult to recycle composite materials</w:t>
            </w:r>
            <w:r w:rsid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.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</w:t>
            </w:r>
          </w:p>
          <w:p w14:paraId="1A505084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</w:p>
          <w:p w14:paraId="78B2E1EC" w14:textId="74BE0C2F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Product unavailable due to non-compliance with WEE legislation. Cost increases</w:t>
            </w:r>
          </w:p>
        </w:tc>
        <w:tc>
          <w:tcPr>
            <w:tcW w:w="1883" w:type="dxa"/>
            <w:vAlign w:val="center"/>
          </w:tcPr>
          <w:p w14:paraId="0192115A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Increased revenue from being able to offer innovative recycling approach </w:t>
            </w:r>
          </w:p>
        </w:tc>
        <w:tc>
          <w:tcPr>
            <w:tcW w:w="1884" w:type="dxa"/>
            <w:vAlign w:val="center"/>
          </w:tcPr>
          <w:p w14:paraId="5BB04B7D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Redesign parts to allow separation of materials</w:t>
            </w:r>
          </w:p>
        </w:tc>
      </w:tr>
      <w:tr w:rsidR="00C339E0" w:rsidRPr="00736389" w14:paraId="6A417F47" w14:textId="77777777" w:rsidTr="005B1D3B">
        <w:trPr>
          <w:cantSplit/>
          <w:trHeight w:val="1243"/>
        </w:trPr>
        <w:tc>
          <w:tcPr>
            <w:tcW w:w="1276" w:type="dxa"/>
            <w:shd w:val="clear" w:color="auto" w:fill="auto"/>
            <w:vAlign w:val="center"/>
          </w:tcPr>
          <w:p w14:paraId="1C3335D4" w14:textId="77777777" w:rsidR="00C339E0" w:rsidRPr="002C65A0" w:rsidRDefault="00C339E0" w:rsidP="002B4374">
            <w:pPr>
              <w:pStyle w:val="Default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Final disposal</w:t>
            </w:r>
          </w:p>
        </w:tc>
        <w:tc>
          <w:tcPr>
            <w:tcW w:w="2127" w:type="dxa"/>
            <w:vAlign w:val="center"/>
          </w:tcPr>
          <w:p w14:paraId="73A4BDAF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Disposal of parts</w:t>
            </w:r>
          </w:p>
        </w:tc>
        <w:tc>
          <w:tcPr>
            <w:tcW w:w="1639" w:type="dxa"/>
            <w:vAlign w:val="center"/>
          </w:tcPr>
          <w:p w14:paraId="120DE135" w14:textId="00D2F901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Landfill of plastic</w:t>
            </w:r>
          </w:p>
        </w:tc>
        <w:tc>
          <w:tcPr>
            <w:tcW w:w="1883" w:type="dxa"/>
            <w:vAlign w:val="center"/>
          </w:tcPr>
          <w:p w14:paraId="398560D5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Loss of finite resources</w:t>
            </w:r>
          </w:p>
          <w:p w14:paraId="4CE09628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Impacts from landfill, water pollution, climate change</w:t>
            </w:r>
          </w:p>
        </w:tc>
        <w:tc>
          <w:tcPr>
            <w:tcW w:w="1884" w:type="dxa"/>
            <w:vAlign w:val="center"/>
          </w:tcPr>
          <w:p w14:paraId="5EED6102" w14:textId="65263213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Influence through design, and information</w:t>
            </w:r>
            <w:r w:rsidR="005A5F94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on recycling and reuse.</w:t>
            </w:r>
          </w:p>
          <w:p w14:paraId="32639D59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</w:p>
          <w:p w14:paraId="53AF79D2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Influence through design and information</w:t>
            </w:r>
          </w:p>
        </w:tc>
        <w:tc>
          <w:tcPr>
            <w:tcW w:w="1883" w:type="dxa"/>
            <w:vAlign w:val="center"/>
          </w:tcPr>
          <w:p w14:paraId="0DE13CF1" w14:textId="59CDACFE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Increased costs associated with landfill</w:t>
            </w:r>
            <w:r w:rsid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.</w:t>
            </w:r>
          </w:p>
          <w:p w14:paraId="1474630E" w14:textId="77777777" w:rsidR="005A5F94" w:rsidRPr="002C65A0" w:rsidRDefault="005A5F94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</w:p>
          <w:p w14:paraId="14EBA040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Restrictions on waste that can be sent to landfill</w:t>
            </w:r>
          </w:p>
        </w:tc>
        <w:tc>
          <w:tcPr>
            <w:tcW w:w="1883" w:type="dxa"/>
            <w:vAlign w:val="center"/>
          </w:tcPr>
          <w:p w14:paraId="2E6F81A8" w14:textId="24FBB777" w:rsidR="00C339E0" w:rsidRPr="002C65A0" w:rsidRDefault="00C339E0" w:rsidP="003A10A3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Increased revenue from being able to offer</w:t>
            </w:r>
            <w:r w:rsidR="003A10A3"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 xml:space="preserve"> </w:t>
            </w: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innovative waste recovery and recycling approaches</w:t>
            </w:r>
          </w:p>
        </w:tc>
        <w:tc>
          <w:tcPr>
            <w:tcW w:w="1884" w:type="dxa"/>
            <w:vAlign w:val="center"/>
          </w:tcPr>
          <w:p w14:paraId="06CDCBAC" w14:textId="42726EA8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Participate in initiatives to increase recyclability</w:t>
            </w:r>
            <w:r w:rsid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.</w:t>
            </w:r>
          </w:p>
          <w:p w14:paraId="200B3D75" w14:textId="77777777" w:rsidR="00C339E0" w:rsidRPr="002C65A0" w:rsidRDefault="00C339E0" w:rsidP="002B4374">
            <w:pPr>
              <w:pStyle w:val="Default"/>
              <w:spacing w:after="60"/>
              <w:rPr>
                <w:rFonts w:ascii="Arial Narrow" w:hAnsi="Arial Narrow" w:cs="Segoe UI"/>
                <w:color w:val="auto"/>
                <w:sz w:val="18"/>
                <w:szCs w:val="18"/>
              </w:rPr>
            </w:pPr>
            <w:r w:rsidRPr="002C65A0">
              <w:rPr>
                <w:rFonts w:ascii="Arial Narrow" w:hAnsi="Arial Narrow" w:cs="Segoe UI"/>
                <w:color w:val="auto"/>
                <w:sz w:val="18"/>
                <w:szCs w:val="18"/>
              </w:rPr>
              <w:t>Implement programme to reuse or recycle individual parts</w:t>
            </w:r>
          </w:p>
        </w:tc>
      </w:tr>
    </w:tbl>
    <w:p w14:paraId="6DD01234" w14:textId="77777777" w:rsidR="00D0019B" w:rsidRDefault="00D0019B"/>
    <w:sectPr w:rsidR="00D0019B" w:rsidSect="005B1D3B">
      <w:headerReference w:type="default" r:id="rId10"/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762BE" w14:textId="77777777" w:rsidR="00BC27AE" w:rsidRDefault="00BC27AE" w:rsidP="00C339E0">
      <w:r>
        <w:separator/>
      </w:r>
    </w:p>
  </w:endnote>
  <w:endnote w:type="continuationSeparator" w:id="0">
    <w:p w14:paraId="0DAD17BB" w14:textId="77777777" w:rsidR="00BC27AE" w:rsidRDefault="00BC27AE" w:rsidP="00C339E0">
      <w:r>
        <w:continuationSeparator/>
      </w:r>
    </w:p>
  </w:endnote>
  <w:endnote w:type="continuationNotice" w:id="1">
    <w:p w14:paraId="32E40177" w14:textId="77777777" w:rsidR="00FB3B43" w:rsidRDefault="00FB3B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KNDDO+Arial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3E3FB" w14:textId="77777777" w:rsidR="00BC27AE" w:rsidRDefault="00BC27AE" w:rsidP="00C339E0">
      <w:r>
        <w:separator/>
      </w:r>
    </w:p>
  </w:footnote>
  <w:footnote w:type="continuationSeparator" w:id="0">
    <w:p w14:paraId="7974FC13" w14:textId="77777777" w:rsidR="00BC27AE" w:rsidRDefault="00BC27AE" w:rsidP="00C339E0">
      <w:r>
        <w:continuationSeparator/>
      </w:r>
    </w:p>
  </w:footnote>
  <w:footnote w:type="continuationNotice" w:id="1">
    <w:p w14:paraId="07CF1B7E" w14:textId="77777777" w:rsidR="00FB3B43" w:rsidRDefault="00FB3B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DB22B" w14:textId="7C9DBF0C" w:rsidR="00C339E0" w:rsidRPr="002C65A0" w:rsidRDefault="00C339E0" w:rsidP="00C339E0">
    <w:pPr>
      <w:rPr>
        <w:rFonts w:ascii="Arial Narrow" w:hAnsi="Arial Narrow"/>
        <w:b/>
        <w:bCs/>
      </w:rPr>
    </w:pPr>
    <w:r w:rsidRPr="002C65A0">
      <w:rPr>
        <w:rFonts w:ascii="Arial Narrow" w:hAnsi="Arial Narrow"/>
        <w:b/>
        <w:bCs/>
        <w:noProof/>
      </w:rPr>
      <w:drawing>
        <wp:anchor distT="0" distB="0" distL="114300" distR="114300" simplePos="0" relativeHeight="251658241" behindDoc="0" locked="0" layoutInCell="1" allowOverlap="1" wp14:anchorId="590F2322" wp14:editId="1E2579D4">
          <wp:simplePos x="0" y="0"/>
          <wp:positionH relativeFrom="column">
            <wp:posOffset>7680960</wp:posOffset>
          </wp:positionH>
          <wp:positionV relativeFrom="paragraph">
            <wp:posOffset>6985</wp:posOffset>
          </wp:positionV>
          <wp:extent cx="1247775" cy="273050"/>
          <wp:effectExtent l="0" t="0" r="0" b="6350"/>
          <wp:wrapNone/>
          <wp:docPr id="1862109576" name="Picture 18621095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C65A0">
      <w:rPr>
        <w:rFonts w:ascii="Arial Narrow" w:hAnsi="Arial Narrow"/>
        <w:b/>
        <w:bCs/>
      </w:rPr>
      <w:t>HIGH LEVEL LIFE</w:t>
    </w:r>
    <w:r w:rsidR="002C65A0">
      <w:rPr>
        <w:rFonts w:ascii="Arial Narrow" w:hAnsi="Arial Narrow"/>
        <w:b/>
        <w:bCs/>
      </w:rPr>
      <w:t>-</w:t>
    </w:r>
    <w:r w:rsidRPr="002C65A0">
      <w:rPr>
        <w:rFonts w:ascii="Arial Narrow" w:hAnsi="Arial Narrow"/>
        <w:b/>
        <w:bCs/>
      </w:rPr>
      <w:t>CYCLE ANALYSIS</w:t>
    </w:r>
  </w:p>
  <w:p w14:paraId="42635EDB" w14:textId="1FE72B1B" w:rsidR="00C339E0" w:rsidRPr="002C65A0" w:rsidRDefault="00C339E0" w:rsidP="00C339E0">
    <w:pPr>
      <w:rPr>
        <w:rFonts w:ascii="Arial Narrow" w:hAnsi="Arial Narrow"/>
        <w:b/>
        <w:bCs/>
      </w:rPr>
    </w:pPr>
    <w:r w:rsidRPr="002C65A0">
      <w:rPr>
        <w:rFonts w:ascii="Arial Narrow" w:hAnsi="Arial Narrow" w:cs="Arial"/>
        <w:b/>
        <w:bCs/>
        <w:sz w:val="20"/>
      </w:rPr>
      <w:t>Document No: IMD 04</w:t>
    </w:r>
    <w:r w:rsidR="006509ED">
      <w:rPr>
        <w:rFonts w:ascii="Arial Narrow" w:hAnsi="Arial Narrow" w:cs="Arial"/>
        <w:b/>
        <w:bCs/>
        <w:sz w:val="20"/>
      </w:rPr>
      <w:t>8</w:t>
    </w:r>
  </w:p>
  <w:p w14:paraId="793AD1B2" w14:textId="3D9F63B1" w:rsidR="00C339E0" w:rsidRPr="002C65A0" w:rsidRDefault="00C339E0" w:rsidP="00C339E0">
    <w:pPr>
      <w:pStyle w:val="Header"/>
      <w:rPr>
        <w:rFonts w:ascii="Arial Narrow" w:hAnsi="Arial Narrow" w:cs="Arial"/>
        <w:b/>
        <w:bCs/>
        <w:sz w:val="20"/>
        <w:szCs w:val="20"/>
      </w:rPr>
    </w:pPr>
    <w:r w:rsidRPr="002C65A0">
      <w:rPr>
        <w:rFonts w:ascii="Arial Narrow" w:hAnsi="Arial Narrow" w:cs="Arial"/>
        <w:b/>
        <w:bCs/>
        <w:sz w:val="20"/>
        <w:szCs w:val="20"/>
      </w:rPr>
      <w:t xml:space="preserve">Revision No: </w:t>
    </w:r>
    <w:r w:rsidR="00105779">
      <w:rPr>
        <w:rFonts w:ascii="Arial Narrow" w:hAnsi="Arial Narrow" w:cs="Arial"/>
        <w:b/>
        <w:bCs/>
        <w:sz w:val="20"/>
        <w:szCs w:val="20"/>
      </w:rPr>
      <w:t>A</w:t>
    </w:r>
  </w:p>
  <w:p w14:paraId="608B8735" w14:textId="6772C7E9" w:rsidR="00C339E0" w:rsidRPr="002C65A0" w:rsidRDefault="00C339E0" w:rsidP="00C339E0">
    <w:pPr>
      <w:pStyle w:val="Header"/>
      <w:rPr>
        <w:rFonts w:ascii="Arial Narrow" w:hAnsi="Arial Narrow" w:cs="Arial"/>
        <w:b/>
        <w:bCs/>
        <w:sz w:val="20"/>
        <w:szCs w:val="20"/>
      </w:rPr>
    </w:pPr>
    <w:r w:rsidRPr="002C65A0">
      <w:rPr>
        <w:rFonts w:ascii="Arial Narrow" w:hAnsi="Arial Narrow"/>
        <w:b/>
        <w:b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697E3B" wp14:editId="0742D542">
              <wp:simplePos x="0" y="0"/>
              <wp:positionH relativeFrom="margin">
                <wp:posOffset>0</wp:posOffset>
              </wp:positionH>
              <wp:positionV relativeFrom="paragraph">
                <wp:posOffset>260985</wp:posOffset>
              </wp:positionV>
              <wp:extent cx="8813800" cy="0"/>
              <wp:effectExtent l="0" t="0" r="12700" b="12700"/>
              <wp:wrapNone/>
              <wp:docPr id="412515803" name="Straight Connector 4125158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88138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B7A5D" id="Straight Connector 41251580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55pt" to="69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E7zwEAAPMDAAAOAAAAZHJzL2Uyb0RvYy54bWysU02P0zAQvSPxHyzfadIiQRQ1XcFWCwcE&#10;Kxa4u864seQvjU2T/nvGTptdQBxAXCyPPe/NvOfx9mayhp0Ao/au4+tVzRk46Xvtjh3/+uXuRcNZ&#10;TML1wngHHT9D5De758+2Y2hh4wdvekBGJC62Y+j4kFJoqyrKAayIKx/A0aXyaEWiEI9Vj2Ikdmuq&#10;TV2/qkaPfUAvIUY63c+XfFf4lQKZPikVITHTceotlRXLeshrtduK9ogiDFpe2hD/0IUV2lHRhWov&#10;kmDfUf9GZbVEH71KK+lt5ZXSEooGUrOuf1HzMIgARQuZE8NiU/x/tPLj6dbdI9kwhtjGcI9ZxaTQ&#10;MmV0eE9vysvuW97lO+qZTcXA82IgTIlJOmya9cumJp/l9a6ayTIwYEzvwFuWNx032mVtohWnDzFR&#10;A5R6TcnHxrGRam5eE1+Ooze6v9PGlACPh1uD7CToXTdv3+z3TX5KoniSRpFxdPiorOzS2cBc4DMo&#10;pnvqe1ZWhg4WWiEluLS+8BpH2RmmqIUFeGktT+ufgJf8DIUykH8DXhClsndpAVvtPM7G/Fw9TdeW&#10;1Zx/dWDWnS04+P5c3rxYQ5NVnLv8gjy6T+MCf/yrux8AAAD//wMAUEsDBBQABgAIAAAAIQCIZXFc&#10;3AAAAAcBAAAPAAAAZHJzL2Rvd25yZXYueG1sTI/NTsMwEITvSH0Ha5G4USdQoSjEqWhED6AeSH/u&#10;brxNLOJ1ZLttytPjqgc4zsxq5ttiPpqendB5bUlAOk2AITVWaWoFbDfLxwyYD5KU7C2hgAt6mJeT&#10;u0Lmyp6pxtM6tCyWkM+lgC6EIefcNx0a6ad2QIrZwTojQ5Su5crJcyw3PX9KkhdupKa40MkBqw6b&#10;7/XRCNDV8v1Qrb5wmO0+3c/Hpa63eiHEw/349gos4Bj+juGKH9GhjEx7eyTlWS8gPhIEzNIU2DV9&#10;zrLo7G8OLwv+n7/8BQAA//8DAFBLAQItABQABgAIAAAAIQC2gziS/gAAAOEBAAATAAAAAAAAAAAA&#10;AAAAAAAAAABbQ29udGVudF9UeXBlc10ueG1sUEsBAi0AFAAGAAgAAAAhADj9If/WAAAAlAEAAAsA&#10;AAAAAAAAAAAAAAAALwEAAF9yZWxzLy5yZWxzUEsBAi0AFAAGAAgAAAAhAMygcTvPAQAA8wMAAA4A&#10;AAAAAAAAAAAAAAAALgIAAGRycy9lMm9Eb2MueG1sUEsBAi0AFAAGAAgAAAAhAIhlcVzcAAAABwEA&#10;AA8AAAAAAAAAAAAAAAAAKQQAAGRycy9kb3ducmV2LnhtbFBLBQYAAAAABAAEAPMAAAAyBQAAAAA=&#10;" strokecolor="#2badd8" strokeweight="1pt">
              <v:stroke joinstyle="miter"/>
              <w10:wrap anchorx="margin"/>
            </v:line>
          </w:pict>
        </mc:Fallback>
      </mc:AlternateContent>
    </w:r>
    <w:r w:rsidRPr="002C65A0">
      <w:rPr>
        <w:rFonts w:ascii="Arial Narrow" w:hAnsi="Arial Narrow" w:cs="Arial"/>
        <w:b/>
        <w:bCs/>
        <w:sz w:val="20"/>
        <w:szCs w:val="20"/>
      </w:rPr>
      <w:t xml:space="preserve">Issue No: </w:t>
    </w:r>
    <w:r w:rsidR="00105779">
      <w:rPr>
        <w:rFonts w:ascii="Arial Narrow" w:hAnsi="Arial Narrow" w:cs="Arial"/>
        <w:b/>
        <w:bCs/>
        <w:sz w:val="20"/>
        <w:szCs w:val="20"/>
      </w:rPr>
      <w:t>001</w:t>
    </w:r>
  </w:p>
  <w:p w14:paraId="1E6BC460" w14:textId="1A9613CF" w:rsidR="00C339E0" w:rsidRDefault="00C33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E0"/>
    <w:rsid w:val="000F58DB"/>
    <w:rsid w:val="00105779"/>
    <w:rsid w:val="001E7D63"/>
    <w:rsid w:val="0022455D"/>
    <w:rsid w:val="002C65A0"/>
    <w:rsid w:val="00330F55"/>
    <w:rsid w:val="003A10A3"/>
    <w:rsid w:val="003E05C4"/>
    <w:rsid w:val="003F6DA1"/>
    <w:rsid w:val="004725D5"/>
    <w:rsid w:val="00533EAD"/>
    <w:rsid w:val="005A5F94"/>
    <w:rsid w:val="005B1D3B"/>
    <w:rsid w:val="005E6332"/>
    <w:rsid w:val="00623FB4"/>
    <w:rsid w:val="0064333C"/>
    <w:rsid w:val="006509ED"/>
    <w:rsid w:val="0074771C"/>
    <w:rsid w:val="008219B0"/>
    <w:rsid w:val="00AB3961"/>
    <w:rsid w:val="00AC23EA"/>
    <w:rsid w:val="00BC27AE"/>
    <w:rsid w:val="00C339E0"/>
    <w:rsid w:val="00C54BA1"/>
    <w:rsid w:val="00CF3E4C"/>
    <w:rsid w:val="00D0019B"/>
    <w:rsid w:val="00EA30A7"/>
    <w:rsid w:val="00F4029B"/>
    <w:rsid w:val="00FB3B43"/>
    <w:rsid w:val="00FC60B8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0C9"/>
  <w15:chartTrackingRefBased/>
  <w15:docId w15:val="{F8DCDDC0-5D2B-49F2-B21B-FF33D684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E0"/>
    <w:pPr>
      <w:spacing w:after="0" w:line="240" w:lineRule="auto"/>
    </w:pPr>
    <w:rPr>
      <w:rFonts w:ascii="Tahoma" w:eastAsia="Times New Roman" w:hAnsi="Tahoma" w:cs="Times New Roman"/>
      <w:kern w:val="0"/>
      <w:sz w:val="24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9E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339E0"/>
  </w:style>
  <w:style w:type="paragraph" w:styleId="Footer">
    <w:name w:val="footer"/>
    <w:basedOn w:val="Normal"/>
    <w:link w:val="FooterChar"/>
    <w:uiPriority w:val="99"/>
    <w:unhideWhenUsed/>
    <w:rsid w:val="00C339E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339E0"/>
  </w:style>
  <w:style w:type="paragraph" w:customStyle="1" w:styleId="Default">
    <w:name w:val="Default"/>
    <w:rsid w:val="00C339E0"/>
    <w:pPr>
      <w:autoSpaceDE w:val="0"/>
      <w:autoSpaceDN w:val="0"/>
      <w:adjustRightInd w:val="0"/>
      <w:spacing w:after="0" w:line="240" w:lineRule="auto"/>
    </w:pPr>
    <w:rPr>
      <w:rFonts w:ascii="FKNDDO+Arial" w:eastAsia="Times New Roman" w:hAnsi="FKNDDO+Arial" w:cs="FKNDDO+Arial"/>
      <w:color w:val="000000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4A417-B4AC-4195-A84E-2F7686B2FC2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F339B465-1D72-4641-AA7A-57FFCEA60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6574E-724A-4B57-8132-823763DEF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4080</Characters>
  <Application>Microsoft Office Word</Application>
  <DocSecurity>0</DocSecurity>
  <Lines>255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6</cp:revision>
  <dcterms:created xsi:type="dcterms:W3CDTF">2025-01-09T12:53:00Z</dcterms:created>
  <dcterms:modified xsi:type="dcterms:W3CDTF">2025-01-09T13:00:00Z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