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9C7B3" w14:textId="61C67001" w:rsidR="00CF784A" w:rsidRDefault="00CF784A" w:rsidP="009B4D45">
      <w:pPr>
        <w:rPr>
          <w:b/>
          <w:bCs/>
          <w:color w:val="FFFFFF" w:themeColor="background1"/>
          <w:sz w:val="48"/>
          <w:szCs w:val="48"/>
          <w:highlight w:val="black"/>
        </w:rPr>
      </w:pPr>
      <w:r>
        <w:rPr>
          <w:b/>
          <w:bCs/>
          <w:color w:val="FFFFFF" w:themeColor="background1"/>
          <w:sz w:val="48"/>
          <w:szCs w:val="48"/>
          <w:highlight w:val="black"/>
        </w:rPr>
        <w:t xml:space="preserve">HEALTH, SAFETY </w:t>
      </w:r>
    </w:p>
    <w:p w14:paraId="769BC359" w14:textId="2F571AC7" w:rsidR="009B4D45" w:rsidRPr="00CF784A" w:rsidRDefault="00CF784A" w:rsidP="009B4D45">
      <w:pPr>
        <w:rPr>
          <w:b/>
          <w:bCs/>
          <w:color w:val="FFFFFF" w:themeColor="background1"/>
          <w:sz w:val="48"/>
          <w:szCs w:val="48"/>
          <w:highlight w:val="black"/>
        </w:rPr>
      </w:pPr>
      <w:r>
        <w:rPr>
          <w:b/>
          <w:bCs/>
          <w:color w:val="FFFFFF" w:themeColor="background1"/>
          <w:sz w:val="48"/>
          <w:szCs w:val="48"/>
          <w:highlight w:val="black"/>
        </w:rPr>
        <w:t xml:space="preserve">&amp; WELLBEING </w:t>
      </w:r>
    </w:p>
    <w:p w14:paraId="50A223CB" w14:textId="77777777" w:rsidR="009B4D45" w:rsidRDefault="009B4D45" w:rsidP="009B4D45"/>
    <w:p w14:paraId="77440353" w14:textId="679C9600" w:rsidR="009B4D45" w:rsidRDefault="009B4D45" w:rsidP="009B4D45">
      <w:pPr>
        <w:rPr>
          <w:sz w:val="32"/>
          <w:szCs w:val="32"/>
        </w:rPr>
      </w:pPr>
      <w:r w:rsidRPr="00087905">
        <w:rPr>
          <w:sz w:val="32"/>
          <w:szCs w:val="32"/>
        </w:rPr>
        <w:t>POL</w:t>
      </w:r>
      <w:r w:rsidR="00E61BCA">
        <w:rPr>
          <w:sz w:val="32"/>
          <w:szCs w:val="32"/>
        </w:rPr>
        <w:t>I</w:t>
      </w:r>
      <w:r w:rsidRPr="00087905">
        <w:rPr>
          <w:sz w:val="32"/>
          <w:szCs w:val="32"/>
        </w:rPr>
        <w:t>CY STATEMENT</w:t>
      </w:r>
    </w:p>
    <w:p w14:paraId="5CFFA92F" w14:textId="77777777" w:rsidR="009B4D45" w:rsidRDefault="009B4D45" w:rsidP="009B4D45">
      <w:pPr>
        <w:rPr>
          <w:sz w:val="32"/>
          <w:szCs w:val="32"/>
        </w:rPr>
      </w:pPr>
    </w:p>
    <w:p w14:paraId="6176F5D9" w14:textId="4B6EFF0F" w:rsidR="009B4D45" w:rsidRPr="00CF784A" w:rsidRDefault="00CF784A" w:rsidP="009B4D45">
      <w:pPr>
        <w:spacing w:after="120"/>
        <w:rPr>
          <w:b/>
          <w:bCs/>
          <w:sz w:val="22"/>
          <w:szCs w:val="22"/>
        </w:rPr>
      </w:pPr>
      <w:r>
        <w:rPr>
          <w:b/>
          <w:bCs/>
          <w:sz w:val="22"/>
          <w:szCs w:val="22"/>
        </w:rPr>
        <w:t>Statement of Intent</w:t>
      </w:r>
    </w:p>
    <w:p w14:paraId="24A91B6B" w14:textId="77777777" w:rsidR="00CF784A" w:rsidRPr="00CF784A" w:rsidRDefault="00CF784A" w:rsidP="00CF784A">
      <w:pPr>
        <w:spacing w:line="276" w:lineRule="auto"/>
        <w:rPr>
          <w:rFonts w:eastAsia="Arial" w:cs="Arial"/>
          <w:bCs/>
          <w:szCs w:val="18"/>
        </w:rPr>
      </w:pPr>
      <w:r w:rsidRPr="00CF784A">
        <w:rPr>
          <w:rFonts w:eastAsia="Arial" w:cs="Arial"/>
          <w:bCs/>
          <w:szCs w:val="18"/>
        </w:rPr>
        <w:t>INFRATEC-UK Limited are committed and recognises and accepts ‘so far as is reasonably practicable’ its responsibility to provide safe and healthy working conditions and to prevent work related injury and ill health for all employees, sub-contractors, visitors and others who may be affected by our work activities, as appropriate to the purpose and context of the company, the specific nature of our health and safety risks and opportunities, and our operations and activities which include the installation and maintenance of highway electrical equipment, supporting works and the design, manufacture and supply of variable message signs.</w:t>
      </w:r>
    </w:p>
    <w:p w14:paraId="068DA221" w14:textId="77777777" w:rsidR="00CF784A" w:rsidRPr="00CF784A" w:rsidRDefault="00CF784A" w:rsidP="00CF784A">
      <w:pPr>
        <w:spacing w:line="276" w:lineRule="auto"/>
        <w:rPr>
          <w:rFonts w:eastAsia="Arial" w:cs="Arial"/>
          <w:bCs/>
          <w:szCs w:val="18"/>
        </w:rPr>
      </w:pPr>
    </w:p>
    <w:p w14:paraId="02917FB1" w14:textId="77777777" w:rsidR="00CF784A" w:rsidRPr="00CF784A" w:rsidRDefault="00CF784A" w:rsidP="00CF784A">
      <w:pPr>
        <w:spacing w:line="276" w:lineRule="auto"/>
        <w:rPr>
          <w:rFonts w:eastAsia="Arial" w:cs="Arial"/>
          <w:bCs/>
          <w:szCs w:val="18"/>
        </w:rPr>
      </w:pPr>
      <w:r w:rsidRPr="00CF784A">
        <w:rPr>
          <w:rFonts w:eastAsia="Arial" w:cs="Arial"/>
          <w:bCs/>
          <w:szCs w:val="18"/>
        </w:rPr>
        <w:t>We are committed to achieving the highest levels of health, safety and wellbeing and believe that incidents are preventable, and this belief underpins our commitment to people and assets. We will ensure that all workplace risks are identified and mitigated to an acceptable level and our operations will strive towards sustainable Safety and Health improvement.</w:t>
      </w:r>
    </w:p>
    <w:p w14:paraId="22DC6984" w14:textId="77777777" w:rsidR="00CF784A" w:rsidRPr="00CF784A" w:rsidRDefault="00CF784A" w:rsidP="00CF784A">
      <w:pPr>
        <w:spacing w:line="276" w:lineRule="auto"/>
        <w:rPr>
          <w:rFonts w:eastAsia="Arial" w:cs="Arial"/>
          <w:bCs/>
          <w:szCs w:val="18"/>
        </w:rPr>
      </w:pPr>
    </w:p>
    <w:p w14:paraId="1D035A3A" w14:textId="1AF4BCD4" w:rsidR="00CF784A" w:rsidRDefault="00CF784A" w:rsidP="009B4D45">
      <w:pPr>
        <w:spacing w:line="276" w:lineRule="auto"/>
        <w:rPr>
          <w:rFonts w:eastAsia="Arial" w:cs="Arial"/>
          <w:bCs/>
          <w:szCs w:val="18"/>
        </w:rPr>
      </w:pPr>
      <w:r w:rsidRPr="00CF784A">
        <w:rPr>
          <w:rFonts w:eastAsia="Arial" w:cs="Arial"/>
          <w:bCs/>
          <w:szCs w:val="18"/>
        </w:rPr>
        <w:t>The Company is actively committed to the provision of strong and active leadership; the engagement of the workforce in the promotion and achievement of safe and healthy conditions and the formal assessment and review of INFRATEC’s performance. The Company will provide adequate resources, information and training to ensure that the Management Team can deliver this policy and its objectives, and that standards and objectives set in the Integrated Management System are delivered.</w:t>
      </w:r>
    </w:p>
    <w:p w14:paraId="63BF44C1" w14:textId="77777777" w:rsidR="00CF784A" w:rsidRDefault="00CF784A" w:rsidP="009B4D45">
      <w:pPr>
        <w:spacing w:line="276" w:lineRule="auto"/>
        <w:rPr>
          <w:rFonts w:eastAsia="Arial" w:cs="Arial"/>
          <w:bCs/>
          <w:szCs w:val="18"/>
        </w:rPr>
      </w:pPr>
    </w:p>
    <w:p w14:paraId="7348EA74" w14:textId="77777777" w:rsidR="00CF784A" w:rsidRPr="00CF784A" w:rsidRDefault="00CF784A" w:rsidP="00CF784A">
      <w:pPr>
        <w:spacing w:line="276" w:lineRule="auto"/>
        <w:rPr>
          <w:rFonts w:cs="Arial"/>
          <w:color w:val="000000"/>
          <w:szCs w:val="18"/>
        </w:rPr>
      </w:pPr>
      <w:r w:rsidRPr="00CF784A">
        <w:rPr>
          <w:rFonts w:cs="Arial"/>
          <w:color w:val="000000"/>
          <w:szCs w:val="18"/>
        </w:rPr>
        <w:t>We will:</w:t>
      </w:r>
    </w:p>
    <w:p w14:paraId="4F574A6B"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Through visible and active leadership, ensure that employees are aware that working safely is a condition of employment.</w:t>
      </w:r>
    </w:p>
    <w:p w14:paraId="62CEC276"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Identify and mitigate to an acceptable level, workplace safety and health risks.</w:t>
      </w:r>
    </w:p>
    <w:p w14:paraId="31070FAC"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Ensure employees are trained to undertake the tasks required.</w:t>
      </w:r>
    </w:p>
    <w:p w14:paraId="76F0F50D"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Ensure a commitment to the consultation and participation of workers, on Health and Safety issues.</w:t>
      </w:r>
    </w:p>
    <w:p w14:paraId="14F5DD13"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Ensure employees are empowered to delay postpone any activity that is considered unsafe or in contradiction to our philosophy.</w:t>
      </w:r>
    </w:p>
    <w:p w14:paraId="372EE45D"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Integrate safety and health matters into our business decisions.</w:t>
      </w:r>
    </w:p>
    <w:p w14:paraId="1CFBA20C"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 xml:space="preserve">Engage with stakeholders, business partners and supply chain to ensure that their Health and Safety management standards and practices meet or exceed the expectations of this </w:t>
      </w:r>
      <w:proofErr w:type="gramStart"/>
      <w:r w:rsidRPr="00CF784A">
        <w:rPr>
          <w:rFonts w:cs="Arial"/>
          <w:iCs/>
          <w:sz w:val="18"/>
          <w:szCs w:val="18"/>
          <w:lang w:val="en-GB"/>
        </w:rPr>
        <w:t>policy;</w:t>
      </w:r>
      <w:proofErr w:type="gramEnd"/>
    </w:p>
    <w:p w14:paraId="7C846D2A"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Comply with applicable Health and Safety legislation and legal requirements.</w:t>
      </w:r>
    </w:p>
    <w:p w14:paraId="7F5CD70B"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Strive for continual improvement in safety and health performance and report our performance on a regular basis.</w:t>
      </w:r>
    </w:p>
    <w:p w14:paraId="27B2CBB1"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Provide our employees with information on health care, health promotion rehabilitation and wellbeing.</w:t>
      </w:r>
    </w:p>
    <w:p w14:paraId="113D012C"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Undertake regular reviews of this Health and Safety policy to ensure it remains relevant and appropriate to our business activities.</w:t>
      </w:r>
    </w:p>
    <w:p w14:paraId="6C62AD7A"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Share this policy with employees, stakeholders, business partners and members of the public.</w:t>
      </w:r>
    </w:p>
    <w:p w14:paraId="20A61FE0"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Comply with Client Specific requirements including (but not limited to) occupational health, working hours and fatigue management.</w:t>
      </w:r>
    </w:p>
    <w:p w14:paraId="6FB44F08" w14:textId="670A188D" w:rsidR="00CF784A" w:rsidRPr="00CF784A" w:rsidRDefault="00CF784A" w:rsidP="009B4D45">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Enhance performance based upon behavioural programmes, observations, coaching and maturity tools.</w:t>
      </w:r>
    </w:p>
    <w:p w14:paraId="17C06292" w14:textId="77777777" w:rsidR="009B4D45" w:rsidRPr="00C66A8B" w:rsidRDefault="009B4D45" w:rsidP="009B4D45">
      <w:pPr>
        <w:jc w:val="both"/>
        <w:rPr>
          <w:rFonts w:cs="Arial"/>
          <w:color w:val="000000"/>
          <w:sz w:val="20"/>
          <w:szCs w:val="20"/>
        </w:rPr>
      </w:pPr>
    </w:p>
    <w:p w14:paraId="68090D5A" w14:textId="2CFEBB3D" w:rsidR="009B4D45" w:rsidRPr="009B4D45" w:rsidRDefault="00CF784A" w:rsidP="009B4D45">
      <w:pPr>
        <w:spacing w:line="276" w:lineRule="auto"/>
        <w:rPr>
          <w:rFonts w:cs="Arial"/>
          <w:color w:val="000000"/>
          <w:szCs w:val="18"/>
        </w:rPr>
      </w:pPr>
      <w:r>
        <w:rPr>
          <w:rFonts w:cs="Arial"/>
          <w:color w:val="000000"/>
          <w:szCs w:val="18"/>
        </w:rPr>
        <w:t>We expect</w:t>
      </w:r>
      <w:r w:rsidR="009B4D45" w:rsidRPr="009B4D45">
        <w:rPr>
          <w:rFonts w:cs="Arial"/>
          <w:color w:val="000000"/>
          <w:szCs w:val="18"/>
        </w:rPr>
        <w:t>:</w:t>
      </w:r>
    </w:p>
    <w:p w14:paraId="6910263A" w14:textId="77777777" w:rsidR="00CF784A" w:rsidRPr="00CF784A" w:rsidRDefault="00CF784A" w:rsidP="00CF784A">
      <w:pPr>
        <w:pStyle w:val="ListParagraph"/>
        <w:numPr>
          <w:ilvl w:val="0"/>
          <w:numId w:val="2"/>
        </w:numPr>
        <w:spacing w:line="276" w:lineRule="auto"/>
        <w:rPr>
          <w:rFonts w:ascii="Arial" w:hAnsi="Arial" w:cs="Arial"/>
          <w:iCs/>
          <w:sz w:val="18"/>
          <w:szCs w:val="18"/>
          <w:lang w:val="en-GB"/>
        </w:rPr>
      </w:pPr>
      <w:r w:rsidRPr="00CF784A">
        <w:rPr>
          <w:rFonts w:ascii="Arial" w:hAnsi="Arial" w:cs="Arial"/>
          <w:iCs/>
          <w:sz w:val="18"/>
          <w:szCs w:val="18"/>
          <w:lang w:val="en-GB"/>
        </w:rPr>
        <w:t>The highest levels of health, safety and wellbeing from all employees and supply chain partners.</w:t>
      </w:r>
    </w:p>
    <w:p w14:paraId="2B975F5B" w14:textId="77777777" w:rsidR="00CF784A" w:rsidRPr="00CF784A" w:rsidRDefault="00CF784A" w:rsidP="00CF784A">
      <w:pPr>
        <w:pStyle w:val="ListParagraph"/>
        <w:numPr>
          <w:ilvl w:val="0"/>
          <w:numId w:val="2"/>
        </w:numPr>
        <w:spacing w:line="276" w:lineRule="auto"/>
        <w:rPr>
          <w:rFonts w:ascii="Arial" w:hAnsi="Arial" w:cs="Arial"/>
          <w:iCs/>
          <w:sz w:val="18"/>
          <w:szCs w:val="18"/>
          <w:lang w:val="en-GB"/>
        </w:rPr>
      </w:pPr>
      <w:r w:rsidRPr="00CF784A">
        <w:rPr>
          <w:rFonts w:ascii="Arial" w:hAnsi="Arial" w:cs="Arial"/>
          <w:iCs/>
          <w:sz w:val="18"/>
          <w:szCs w:val="18"/>
          <w:lang w:val="en-GB"/>
        </w:rPr>
        <w:t>Everyone to be responsible for health, safety and wellbeing of themselves and those around them.</w:t>
      </w:r>
    </w:p>
    <w:p w14:paraId="60AB2F22" w14:textId="7CDF5F2A" w:rsidR="009B4D45" w:rsidRPr="00CF784A" w:rsidRDefault="00CF784A" w:rsidP="009B4D45">
      <w:pPr>
        <w:pStyle w:val="ListParagraph"/>
        <w:numPr>
          <w:ilvl w:val="0"/>
          <w:numId w:val="2"/>
        </w:numPr>
        <w:spacing w:line="276" w:lineRule="auto"/>
        <w:rPr>
          <w:rFonts w:ascii="Arial" w:hAnsi="Arial" w:cs="Arial"/>
          <w:iCs/>
          <w:sz w:val="18"/>
          <w:szCs w:val="18"/>
          <w:lang w:val="en-GB"/>
        </w:rPr>
      </w:pPr>
      <w:r w:rsidRPr="00CF784A">
        <w:rPr>
          <w:rFonts w:ascii="Arial" w:hAnsi="Arial" w:cs="Arial"/>
          <w:iCs/>
          <w:sz w:val="18"/>
          <w:szCs w:val="18"/>
          <w:lang w:val="en-GB"/>
        </w:rPr>
        <w:t>Active engagement in our belief that incidents are preventable and our aspiration to create incident and injury free environments.</w:t>
      </w:r>
      <w:r w:rsidR="00B02E1A">
        <w:rPr>
          <w:noProof/>
        </w:rPr>
        <w:drawing>
          <wp:anchor distT="0" distB="0" distL="114300" distR="114300" simplePos="0" relativeHeight="251658240" behindDoc="1" locked="0" layoutInCell="1" allowOverlap="1" wp14:anchorId="57DF76A0" wp14:editId="3376BC8F">
            <wp:simplePos x="0" y="0"/>
            <wp:positionH relativeFrom="page">
              <wp:align>center</wp:align>
            </wp:positionH>
            <wp:positionV relativeFrom="page">
              <wp:align>center</wp:align>
            </wp:positionV>
            <wp:extent cx="7532370" cy="10659110"/>
            <wp:effectExtent l="0" t="0" r="0" b="0"/>
            <wp:wrapNone/>
            <wp:docPr id="62602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511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532615" cy="10659599"/>
                    </a:xfrm>
                    <a:prstGeom prst="rect">
                      <a:avLst/>
                    </a:prstGeom>
                  </pic:spPr>
                </pic:pic>
              </a:graphicData>
            </a:graphic>
            <wp14:sizeRelH relativeFrom="margin">
              <wp14:pctWidth>0</wp14:pctWidth>
            </wp14:sizeRelH>
            <wp14:sizeRelV relativeFrom="margin">
              <wp14:pctHeight>0</wp14:pctHeight>
            </wp14:sizeRelV>
          </wp:anchor>
        </w:drawing>
      </w:r>
    </w:p>
    <w:p w14:paraId="223C26D6" w14:textId="77777777" w:rsidR="009B4D45" w:rsidRPr="009B4D45" w:rsidRDefault="009B4D45" w:rsidP="009B4D45">
      <w:pPr>
        <w:spacing w:line="276" w:lineRule="auto"/>
        <w:rPr>
          <w:rFonts w:eastAsia="Arial" w:cs="Arial"/>
          <w:bCs/>
          <w:szCs w:val="18"/>
        </w:rPr>
      </w:pPr>
    </w:p>
    <w:p w14:paraId="648DC086" w14:textId="14C3C09D" w:rsidR="009B4D45" w:rsidRDefault="00CF784A" w:rsidP="009B4D45">
      <w:pPr>
        <w:spacing w:after="120"/>
        <w:rPr>
          <w:rFonts w:cs="Arial"/>
          <w:color w:val="000000"/>
          <w:szCs w:val="18"/>
        </w:rPr>
      </w:pPr>
      <w:r>
        <w:rPr>
          <w:noProof/>
        </w:rPr>
        <w:lastRenderedPageBreak/>
        <w:drawing>
          <wp:anchor distT="0" distB="0" distL="114300" distR="114300" simplePos="0" relativeHeight="251664384" behindDoc="1" locked="0" layoutInCell="1" allowOverlap="1" wp14:anchorId="34C1103E" wp14:editId="2128DFAE">
            <wp:simplePos x="0" y="0"/>
            <wp:positionH relativeFrom="page">
              <wp:posOffset>8467</wp:posOffset>
            </wp:positionH>
            <wp:positionV relativeFrom="page">
              <wp:posOffset>20955</wp:posOffset>
            </wp:positionV>
            <wp:extent cx="7532615" cy="10659599"/>
            <wp:effectExtent l="0" t="0" r="0" b="0"/>
            <wp:wrapNone/>
            <wp:docPr id="570807423" name="Picture 570807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07423" name="Picture 570807423"/>
                    <pic:cNvPicPr/>
                  </pic:nvPicPr>
                  <pic:blipFill>
                    <a:blip r:embed="rId9">
                      <a:extLst>
                        <a:ext uri="{28A0092B-C50C-407E-A947-70E740481C1C}">
                          <a14:useLocalDpi xmlns:a14="http://schemas.microsoft.com/office/drawing/2010/main" val="0"/>
                        </a:ext>
                      </a:extLst>
                    </a:blip>
                    <a:stretch>
                      <a:fillRect/>
                    </a:stretch>
                  </pic:blipFill>
                  <pic:spPr>
                    <a:xfrm>
                      <a:off x="0" y="0"/>
                      <a:ext cx="7532615" cy="10659599"/>
                    </a:xfrm>
                    <a:prstGeom prst="rect">
                      <a:avLst/>
                    </a:prstGeom>
                  </pic:spPr>
                </pic:pic>
              </a:graphicData>
            </a:graphic>
            <wp14:sizeRelH relativeFrom="margin">
              <wp14:pctWidth>0</wp14:pctWidth>
            </wp14:sizeRelH>
            <wp14:sizeRelV relativeFrom="margin">
              <wp14:pctHeight>0</wp14:pctHeight>
            </wp14:sizeRelV>
          </wp:anchor>
        </w:drawing>
      </w:r>
      <w:r w:rsidR="009B4D45">
        <w:rPr>
          <w:b/>
          <w:bCs/>
          <w:sz w:val="22"/>
          <w:szCs w:val="22"/>
        </w:rPr>
        <w:t>C</w:t>
      </w:r>
      <w:r w:rsidR="009B4D45" w:rsidRPr="000B7A20">
        <w:rPr>
          <w:b/>
          <w:bCs/>
          <w:sz w:val="22"/>
          <w:szCs w:val="22"/>
        </w:rPr>
        <w:t>ommunication of this Policy</w:t>
      </w:r>
    </w:p>
    <w:p w14:paraId="2D1FB9C2" w14:textId="77777777" w:rsidR="009B4D45" w:rsidRDefault="009B4D45" w:rsidP="009B4D45">
      <w:pPr>
        <w:spacing w:line="276" w:lineRule="auto"/>
        <w:rPr>
          <w:rFonts w:eastAsia="Arial" w:cs="Arial"/>
          <w:bCs/>
          <w:szCs w:val="18"/>
        </w:rPr>
      </w:pPr>
      <w:r w:rsidRPr="009B4D45">
        <w:rPr>
          <w:rFonts w:eastAsia="Arial" w:cs="Arial"/>
          <w:bCs/>
          <w:szCs w:val="18"/>
        </w:rPr>
        <w:t xml:space="preserve">This policy statement is communicated to all INFRATEC employees, it is posted on the Company Notice Board, available to all employees on the company’s SharePoint Servers. This Policy will be made available to </w:t>
      </w:r>
      <w:r w:rsidRPr="000B7A20">
        <w:rPr>
          <w:rFonts w:eastAsia="Arial" w:cs="Arial"/>
          <w:bCs/>
          <w:szCs w:val="18"/>
        </w:rPr>
        <w:t xml:space="preserve">subcontractors working on behalf of the Company </w:t>
      </w:r>
      <w:r w:rsidRPr="009B4D45">
        <w:rPr>
          <w:rFonts w:eastAsia="Arial" w:cs="Arial"/>
          <w:bCs/>
          <w:szCs w:val="18"/>
        </w:rPr>
        <w:t xml:space="preserve">and interested parties, as appropriate. </w:t>
      </w:r>
      <w:r w:rsidRPr="000B7A20">
        <w:rPr>
          <w:rFonts w:eastAsia="Arial" w:cs="Arial"/>
          <w:bCs/>
          <w:szCs w:val="18"/>
        </w:rPr>
        <w:t>This policy will be reviewed at least annually.</w:t>
      </w:r>
    </w:p>
    <w:p w14:paraId="3535EEA9" w14:textId="77777777" w:rsidR="009B4D45" w:rsidRDefault="009B4D45" w:rsidP="009B4D45">
      <w:pPr>
        <w:spacing w:line="276" w:lineRule="auto"/>
        <w:rPr>
          <w:rFonts w:eastAsia="Arial" w:cs="Arial"/>
          <w:bCs/>
          <w:szCs w:val="18"/>
        </w:rPr>
      </w:pPr>
    </w:p>
    <w:p w14:paraId="4DE67880" w14:textId="1418B877" w:rsidR="009B4D45" w:rsidRDefault="009B4D45" w:rsidP="009B4D45">
      <w:pPr>
        <w:spacing w:line="276" w:lineRule="auto"/>
        <w:rPr>
          <w:rFonts w:eastAsia="Arial" w:cs="Arial"/>
          <w:bCs/>
          <w:szCs w:val="18"/>
        </w:rPr>
      </w:pPr>
      <w:r w:rsidRPr="00087905">
        <w:rPr>
          <w:b/>
          <w:bCs/>
          <w:noProof/>
          <w:szCs w:val="18"/>
        </w:rPr>
        <w:drawing>
          <wp:anchor distT="0" distB="0" distL="114300" distR="114300" simplePos="0" relativeHeight="251662336" behindDoc="0" locked="0" layoutInCell="1" allowOverlap="1" wp14:anchorId="5B7E254C" wp14:editId="32E2A238">
            <wp:simplePos x="0" y="0"/>
            <wp:positionH relativeFrom="column">
              <wp:posOffset>0</wp:posOffset>
            </wp:positionH>
            <wp:positionV relativeFrom="paragraph">
              <wp:posOffset>127423</wp:posOffset>
            </wp:positionV>
            <wp:extent cx="1339215" cy="523875"/>
            <wp:effectExtent l="0" t="0" r="0" b="0"/>
            <wp:wrapNone/>
            <wp:docPr id="1826651811" name="Picture 1" descr="A black line draw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51811" name="Picture 1" descr="A black line drawn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39215" cy="523875"/>
                    </a:xfrm>
                    <a:prstGeom prst="rect">
                      <a:avLst/>
                    </a:prstGeom>
                  </pic:spPr>
                </pic:pic>
              </a:graphicData>
            </a:graphic>
            <wp14:sizeRelH relativeFrom="page">
              <wp14:pctWidth>0</wp14:pctWidth>
            </wp14:sizeRelH>
            <wp14:sizeRelV relativeFrom="page">
              <wp14:pctHeight>0</wp14:pctHeight>
            </wp14:sizeRelV>
          </wp:anchor>
        </w:drawing>
      </w:r>
    </w:p>
    <w:p w14:paraId="11B7E16A" w14:textId="6A4FD7DA" w:rsidR="009B4D45" w:rsidRPr="000B7A20" w:rsidRDefault="009B4D45" w:rsidP="009B4D45">
      <w:pPr>
        <w:spacing w:line="276" w:lineRule="auto"/>
        <w:rPr>
          <w:rFonts w:eastAsia="Arial" w:cs="Arial"/>
          <w:bCs/>
          <w:szCs w:val="18"/>
        </w:rPr>
      </w:pPr>
    </w:p>
    <w:p w14:paraId="3D7F88AD" w14:textId="77777777" w:rsidR="009B4D45" w:rsidRDefault="009B4D45" w:rsidP="009B4D45">
      <w:pPr>
        <w:spacing w:line="276" w:lineRule="auto"/>
        <w:rPr>
          <w:rFonts w:eastAsia="Arial" w:cs="Arial"/>
          <w:bCs/>
          <w:szCs w:val="18"/>
        </w:rPr>
      </w:pPr>
    </w:p>
    <w:p w14:paraId="4E0ABD2E" w14:textId="77777777" w:rsidR="009B4D45" w:rsidRDefault="009B4D45" w:rsidP="009B4D45">
      <w:pPr>
        <w:rPr>
          <w:b/>
          <w:bCs/>
          <w:szCs w:val="18"/>
        </w:rPr>
      </w:pPr>
    </w:p>
    <w:p w14:paraId="163FE07C" w14:textId="50D7B248" w:rsidR="009B4D45" w:rsidRDefault="009B4D45" w:rsidP="009B4D45">
      <w:pPr>
        <w:rPr>
          <w:b/>
          <w:bCs/>
          <w:szCs w:val="18"/>
        </w:rPr>
      </w:pPr>
    </w:p>
    <w:p w14:paraId="0E213893" w14:textId="0D08660E" w:rsidR="009B4D45" w:rsidRPr="00087905" w:rsidRDefault="009B4D45" w:rsidP="009B4D45">
      <w:pPr>
        <w:rPr>
          <w:b/>
          <w:bCs/>
          <w:szCs w:val="18"/>
        </w:rPr>
      </w:pPr>
      <w:r w:rsidRPr="00087905">
        <w:rPr>
          <w:b/>
          <w:bCs/>
          <w:szCs w:val="18"/>
        </w:rPr>
        <w:t>David Bullock</w:t>
      </w:r>
    </w:p>
    <w:p w14:paraId="2B840EC2" w14:textId="77777777" w:rsidR="009B4D45" w:rsidRDefault="009B4D45" w:rsidP="009B4D45">
      <w:pPr>
        <w:rPr>
          <w:b/>
          <w:bCs/>
          <w:szCs w:val="18"/>
        </w:rPr>
      </w:pPr>
      <w:r w:rsidRPr="00087905">
        <w:rPr>
          <w:b/>
          <w:bCs/>
          <w:szCs w:val="18"/>
        </w:rPr>
        <w:t>Managing Director</w:t>
      </w:r>
    </w:p>
    <w:p w14:paraId="0436FA87" w14:textId="77777777" w:rsidR="009B4D45" w:rsidRDefault="009B4D45" w:rsidP="009B4D45">
      <w:pPr>
        <w:rPr>
          <w:szCs w:val="18"/>
        </w:rPr>
      </w:pPr>
      <w:r w:rsidRPr="0002541B">
        <w:rPr>
          <w:szCs w:val="18"/>
        </w:rPr>
        <w:t>For and on behalf of the Senior Management Team</w:t>
      </w:r>
    </w:p>
    <w:p w14:paraId="68A830A6" w14:textId="77777777" w:rsidR="009B4D45" w:rsidRDefault="009B4D45" w:rsidP="009B4D45">
      <w:pPr>
        <w:rPr>
          <w:szCs w:val="18"/>
        </w:rPr>
      </w:pPr>
    </w:p>
    <w:p w14:paraId="397058A6" w14:textId="77777777" w:rsidR="009B4D45" w:rsidRDefault="009B4D45" w:rsidP="009B4D45">
      <w:pPr>
        <w:rPr>
          <w:szCs w:val="18"/>
        </w:rPr>
      </w:pPr>
    </w:p>
    <w:p w14:paraId="415CA076" w14:textId="77777777" w:rsidR="009B4D45" w:rsidRDefault="009B4D45" w:rsidP="009B4D45">
      <w:pPr>
        <w:rPr>
          <w:szCs w:val="18"/>
        </w:rPr>
      </w:pPr>
    </w:p>
    <w:p w14:paraId="11883695" w14:textId="77777777" w:rsidR="009B4D45" w:rsidRDefault="009B4D45" w:rsidP="009B4D45">
      <w:pPr>
        <w:rPr>
          <w:szCs w:val="18"/>
        </w:rPr>
      </w:pPr>
    </w:p>
    <w:p w14:paraId="0679EA61" w14:textId="77777777" w:rsidR="009B4D45" w:rsidRPr="009B4D45" w:rsidRDefault="009B4D45" w:rsidP="009B4D45">
      <w:pPr>
        <w:spacing w:line="276" w:lineRule="auto"/>
        <w:rPr>
          <w:rFonts w:eastAsia="Arial" w:cs="Arial"/>
          <w:bCs/>
          <w:szCs w:val="18"/>
        </w:rPr>
      </w:pPr>
    </w:p>
    <w:tbl>
      <w:tblPr>
        <w:tblStyle w:val="TableGrid"/>
        <w:tblpPr w:leftFromText="180" w:rightFromText="180" w:vertAnchor="text" w:tblpY="7925"/>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555"/>
        <w:gridCol w:w="850"/>
        <w:gridCol w:w="4394"/>
        <w:gridCol w:w="1134"/>
        <w:gridCol w:w="1083"/>
      </w:tblGrid>
      <w:tr w:rsidR="009B4D45" w14:paraId="35CD6E89" w14:textId="77777777" w:rsidTr="009B4D45">
        <w:tc>
          <w:tcPr>
            <w:tcW w:w="1555" w:type="dxa"/>
          </w:tcPr>
          <w:p w14:paraId="4CD02E8D" w14:textId="77777777" w:rsidR="009B4D45" w:rsidRPr="000B7A20" w:rsidRDefault="009B4D45" w:rsidP="009B4D45">
            <w:pPr>
              <w:rPr>
                <w:rFonts w:cs="Arial"/>
                <w:color w:val="808080" w:themeColor="background1" w:themeShade="80"/>
                <w:sz w:val="15"/>
                <w:szCs w:val="15"/>
              </w:rPr>
            </w:pPr>
            <w:r w:rsidRPr="000B7A20">
              <w:rPr>
                <w:rFonts w:cs="Arial"/>
                <w:color w:val="808080" w:themeColor="background1" w:themeShade="80"/>
                <w:sz w:val="15"/>
                <w:szCs w:val="15"/>
              </w:rPr>
              <w:t>Document Ref</w:t>
            </w:r>
          </w:p>
        </w:tc>
        <w:tc>
          <w:tcPr>
            <w:tcW w:w="850" w:type="dxa"/>
          </w:tcPr>
          <w:p w14:paraId="6996C883" w14:textId="62FD74BE" w:rsidR="009B4D45" w:rsidRPr="000B7A20" w:rsidRDefault="009B4D45" w:rsidP="009B4D45">
            <w:pPr>
              <w:rPr>
                <w:rFonts w:cs="Arial"/>
                <w:color w:val="808080" w:themeColor="background1" w:themeShade="80"/>
                <w:sz w:val="15"/>
                <w:szCs w:val="15"/>
              </w:rPr>
            </w:pPr>
            <w:r>
              <w:rPr>
                <w:rFonts w:cs="Arial"/>
                <w:color w:val="808080" w:themeColor="background1" w:themeShade="80"/>
                <w:sz w:val="15"/>
                <w:szCs w:val="15"/>
              </w:rPr>
              <w:t>IMP00</w:t>
            </w:r>
            <w:r w:rsidR="00B02E1A">
              <w:rPr>
                <w:rFonts w:cs="Arial"/>
                <w:color w:val="808080" w:themeColor="background1" w:themeShade="80"/>
                <w:sz w:val="15"/>
                <w:szCs w:val="15"/>
              </w:rPr>
              <w:t>3</w:t>
            </w:r>
          </w:p>
        </w:tc>
        <w:tc>
          <w:tcPr>
            <w:tcW w:w="4394" w:type="dxa"/>
            <w:vMerge w:val="restart"/>
            <w:vAlign w:val="center"/>
          </w:tcPr>
          <w:p w14:paraId="58973C01" w14:textId="77777777" w:rsidR="009B4D45" w:rsidRPr="000B7A20" w:rsidRDefault="009B4D45" w:rsidP="009B4D45">
            <w:pPr>
              <w:jc w:val="center"/>
              <w:rPr>
                <w:rFonts w:cs="Arial"/>
                <w:color w:val="808080" w:themeColor="background1" w:themeShade="80"/>
                <w:sz w:val="15"/>
                <w:szCs w:val="15"/>
              </w:rPr>
            </w:pPr>
            <w:r w:rsidRPr="000B7A20">
              <w:rPr>
                <w:rFonts w:cs="Arial"/>
                <w:color w:val="808080" w:themeColor="background1" w:themeShade="80"/>
                <w:sz w:val="15"/>
                <w:szCs w:val="15"/>
              </w:rPr>
              <w:t xml:space="preserve">Copyright </w:t>
            </w:r>
            <w:r w:rsidRPr="000B7A20">
              <w:rPr>
                <w:rFonts w:cs="Arial"/>
                <w:color w:val="808080" w:themeColor="background1" w:themeShade="80"/>
                <w:sz w:val="15"/>
                <w:szCs w:val="15"/>
              </w:rPr>
              <w:sym w:font="Symbol" w:char="F0E3"/>
            </w:r>
            <w:r w:rsidRPr="000B7A20">
              <w:rPr>
                <w:rFonts w:cs="Arial"/>
                <w:color w:val="808080" w:themeColor="background1" w:themeShade="80"/>
                <w:sz w:val="15"/>
                <w:szCs w:val="15"/>
              </w:rPr>
              <w:t xml:space="preserve"> INFRATEC-UK Limited. </w:t>
            </w:r>
          </w:p>
          <w:p w14:paraId="3CE5DA37" w14:textId="77777777" w:rsidR="009B4D45" w:rsidRPr="000B7A20" w:rsidRDefault="009B4D45" w:rsidP="009B4D45">
            <w:pPr>
              <w:jc w:val="center"/>
              <w:rPr>
                <w:rFonts w:cs="Arial"/>
                <w:color w:val="808080" w:themeColor="background1" w:themeShade="80"/>
                <w:sz w:val="15"/>
                <w:szCs w:val="15"/>
              </w:rPr>
            </w:pPr>
            <w:r w:rsidRPr="000B7A20">
              <w:rPr>
                <w:rFonts w:cs="Arial"/>
                <w:color w:val="808080" w:themeColor="background1" w:themeShade="80"/>
                <w:sz w:val="15"/>
                <w:szCs w:val="15"/>
              </w:rPr>
              <w:t>All Rights Reserved</w:t>
            </w:r>
          </w:p>
        </w:tc>
        <w:tc>
          <w:tcPr>
            <w:tcW w:w="1134" w:type="dxa"/>
          </w:tcPr>
          <w:p w14:paraId="58F14061" w14:textId="77777777" w:rsidR="009B4D45" w:rsidRPr="000B7A20" w:rsidRDefault="009B4D45" w:rsidP="009B4D45">
            <w:pPr>
              <w:rPr>
                <w:rFonts w:cs="Arial"/>
                <w:color w:val="808080" w:themeColor="background1" w:themeShade="80"/>
                <w:sz w:val="15"/>
                <w:szCs w:val="15"/>
              </w:rPr>
            </w:pPr>
            <w:r w:rsidRPr="000B7A20">
              <w:rPr>
                <w:rFonts w:cs="Arial"/>
                <w:color w:val="808080" w:themeColor="background1" w:themeShade="80"/>
                <w:sz w:val="15"/>
                <w:szCs w:val="15"/>
              </w:rPr>
              <w:t>Revision No</w:t>
            </w:r>
          </w:p>
        </w:tc>
        <w:tc>
          <w:tcPr>
            <w:tcW w:w="1083" w:type="dxa"/>
          </w:tcPr>
          <w:p w14:paraId="3A3F9F42" w14:textId="1518AFBD" w:rsidR="009B4D45" w:rsidRPr="000B7A20" w:rsidRDefault="00D874D9" w:rsidP="009B4D45">
            <w:pPr>
              <w:rPr>
                <w:rFonts w:cs="Arial"/>
                <w:color w:val="808080" w:themeColor="background1" w:themeShade="80"/>
                <w:sz w:val="15"/>
                <w:szCs w:val="15"/>
              </w:rPr>
            </w:pPr>
            <w:r>
              <w:rPr>
                <w:rFonts w:cs="Arial"/>
                <w:color w:val="808080" w:themeColor="background1" w:themeShade="80"/>
                <w:sz w:val="15"/>
                <w:szCs w:val="15"/>
              </w:rPr>
              <w:t>B</w:t>
            </w:r>
          </w:p>
        </w:tc>
      </w:tr>
      <w:tr w:rsidR="009B4D45" w14:paraId="0E5C46F9" w14:textId="77777777" w:rsidTr="009B4D45">
        <w:tc>
          <w:tcPr>
            <w:tcW w:w="1555" w:type="dxa"/>
          </w:tcPr>
          <w:p w14:paraId="25164328" w14:textId="77777777" w:rsidR="009B4D45" w:rsidRPr="000B7A20" w:rsidRDefault="009B4D45" w:rsidP="009B4D45">
            <w:pPr>
              <w:rPr>
                <w:rFonts w:cs="Arial"/>
                <w:color w:val="808080" w:themeColor="background1" w:themeShade="80"/>
                <w:sz w:val="15"/>
                <w:szCs w:val="15"/>
              </w:rPr>
            </w:pPr>
            <w:r w:rsidRPr="000B7A20">
              <w:rPr>
                <w:rFonts w:cs="Arial"/>
                <w:color w:val="808080" w:themeColor="background1" w:themeShade="80"/>
                <w:sz w:val="15"/>
                <w:szCs w:val="15"/>
              </w:rPr>
              <w:t>Issue No</w:t>
            </w:r>
          </w:p>
        </w:tc>
        <w:tc>
          <w:tcPr>
            <w:tcW w:w="850" w:type="dxa"/>
          </w:tcPr>
          <w:p w14:paraId="621B10A6" w14:textId="58AF058D" w:rsidR="009B4D45" w:rsidRPr="000B7A20" w:rsidRDefault="00D874D9" w:rsidP="009B4D45">
            <w:pPr>
              <w:rPr>
                <w:rFonts w:cs="Arial"/>
                <w:color w:val="808080" w:themeColor="background1" w:themeShade="80"/>
                <w:sz w:val="15"/>
                <w:szCs w:val="15"/>
              </w:rPr>
            </w:pPr>
            <w:r>
              <w:rPr>
                <w:rFonts w:cs="Arial"/>
                <w:color w:val="808080" w:themeColor="background1" w:themeShade="80"/>
                <w:sz w:val="15"/>
                <w:szCs w:val="15"/>
              </w:rPr>
              <w:t>001</w:t>
            </w:r>
          </w:p>
        </w:tc>
        <w:tc>
          <w:tcPr>
            <w:tcW w:w="4394" w:type="dxa"/>
            <w:vMerge/>
          </w:tcPr>
          <w:p w14:paraId="435A9635" w14:textId="77777777" w:rsidR="009B4D45" w:rsidRPr="000B7A20" w:rsidRDefault="009B4D45" w:rsidP="009B4D45">
            <w:pPr>
              <w:rPr>
                <w:rFonts w:cs="Arial"/>
                <w:color w:val="808080" w:themeColor="background1" w:themeShade="80"/>
                <w:sz w:val="15"/>
                <w:szCs w:val="15"/>
              </w:rPr>
            </w:pPr>
          </w:p>
        </w:tc>
        <w:tc>
          <w:tcPr>
            <w:tcW w:w="1134" w:type="dxa"/>
          </w:tcPr>
          <w:p w14:paraId="05414A4C" w14:textId="77777777" w:rsidR="009B4D45" w:rsidRPr="000B7A20" w:rsidRDefault="009B4D45" w:rsidP="009B4D45">
            <w:pPr>
              <w:rPr>
                <w:rFonts w:cs="Arial"/>
                <w:color w:val="808080" w:themeColor="background1" w:themeShade="80"/>
                <w:sz w:val="15"/>
                <w:szCs w:val="15"/>
              </w:rPr>
            </w:pPr>
            <w:r w:rsidRPr="000B7A20">
              <w:rPr>
                <w:rFonts w:cs="Arial"/>
                <w:color w:val="808080" w:themeColor="background1" w:themeShade="80"/>
                <w:sz w:val="15"/>
                <w:szCs w:val="15"/>
              </w:rPr>
              <w:t>Date</w:t>
            </w:r>
          </w:p>
        </w:tc>
        <w:tc>
          <w:tcPr>
            <w:tcW w:w="1083" w:type="dxa"/>
          </w:tcPr>
          <w:p w14:paraId="34CBED53" w14:textId="4709E57D" w:rsidR="009B4D45" w:rsidRPr="000B7A20" w:rsidRDefault="00D874D9" w:rsidP="009B4D45">
            <w:pPr>
              <w:rPr>
                <w:rFonts w:cs="Arial"/>
                <w:color w:val="808080" w:themeColor="background1" w:themeShade="80"/>
                <w:sz w:val="15"/>
                <w:szCs w:val="15"/>
              </w:rPr>
            </w:pPr>
            <w:r>
              <w:rPr>
                <w:rFonts w:cs="Arial"/>
                <w:color w:val="808080" w:themeColor="background1" w:themeShade="80"/>
                <w:sz w:val="15"/>
                <w:szCs w:val="15"/>
              </w:rPr>
              <w:t>Jan 202</w:t>
            </w:r>
            <w:r w:rsidR="00160A84">
              <w:rPr>
                <w:rFonts w:cs="Arial"/>
                <w:color w:val="808080" w:themeColor="background1" w:themeShade="80"/>
                <w:sz w:val="15"/>
                <w:szCs w:val="15"/>
              </w:rPr>
              <w:t>5</w:t>
            </w:r>
          </w:p>
        </w:tc>
      </w:tr>
    </w:tbl>
    <w:p w14:paraId="40F0659C" w14:textId="77777777" w:rsidR="009B4D45" w:rsidRDefault="009B4D45" w:rsidP="009B4D45">
      <w:pPr>
        <w:rPr>
          <w:szCs w:val="18"/>
        </w:rPr>
      </w:pPr>
    </w:p>
    <w:p w14:paraId="6A5226AE" w14:textId="2E46C019" w:rsidR="00F701A4" w:rsidRDefault="00F701A4"/>
    <w:sectPr w:rsidR="00F701A4" w:rsidSect="009B4D45">
      <w:pgSz w:w="11906" w:h="16838"/>
      <w:pgMar w:top="187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763CE"/>
    <w:multiLevelType w:val="hybridMultilevel"/>
    <w:tmpl w:val="45BA56FA"/>
    <w:lvl w:ilvl="0" w:tplc="5E1E3174">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15:restartNumberingAfterBreak="0">
    <w:nsid w:val="459E0514"/>
    <w:multiLevelType w:val="hybridMultilevel"/>
    <w:tmpl w:val="86C4A2C6"/>
    <w:lvl w:ilvl="0" w:tplc="5E1E3174">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1969630576">
    <w:abstractNumId w:val="0"/>
  </w:num>
  <w:num w:numId="2" w16cid:durableId="1771702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AE"/>
    <w:rsid w:val="00160A84"/>
    <w:rsid w:val="00160AC8"/>
    <w:rsid w:val="001E3B23"/>
    <w:rsid w:val="003523AA"/>
    <w:rsid w:val="004F6AFA"/>
    <w:rsid w:val="007A1D91"/>
    <w:rsid w:val="009B4D45"/>
    <w:rsid w:val="00A85B31"/>
    <w:rsid w:val="00B02E1A"/>
    <w:rsid w:val="00CF784A"/>
    <w:rsid w:val="00D27A95"/>
    <w:rsid w:val="00D539AE"/>
    <w:rsid w:val="00D874D9"/>
    <w:rsid w:val="00E61BCA"/>
    <w:rsid w:val="00EF1EF9"/>
    <w:rsid w:val="00F70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7A6F"/>
  <w15:chartTrackingRefBased/>
  <w15:docId w15:val="{AC803857-EAB1-3345-854B-E80BF7B3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Body CS)"/>
        <w:kern w:val="2"/>
        <w:sz w:val="18"/>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rsid w:val="009B4D45"/>
    <w:pPr>
      <w:snapToGrid w:val="0"/>
      <w:jc w:val="both"/>
    </w:pPr>
    <w:rPr>
      <w:rFonts w:eastAsia="Times New Roman" w:cs="Times New Roman"/>
      <w:kern w:val="0"/>
      <w:sz w:val="16"/>
      <w:szCs w:val="20"/>
      <w:lang w:val="x-none"/>
      <w14:ligatures w14:val="none"/>
    </w:rPr>
  </w:style>
  <w:style w:type="character" w:customStyle="1" w:styleId="BodyText2Char">
    <w:name w:val="Body Text 2 Char"/>
    <w:basedOn w:val="DefaultParagraphFont"/>
    <w:link w:val="BodyText2"/>
    <w:rsid w:val="009B4D45"/>
    <w:rPr>
      <w:rFonts w:eastAsia="Times New Roman" w:cs="Times New Roman"/>
      <w:kern w:val="0"/>
      <w:sz w:val="16"/>
      <w:szCs w:val="20"/>
      <w:lang w:val="x-none"/>
      <w14:ligatures w14:val="none"/>
    </w:rPr>
  </w:style>
  <w:style w:type="paragraph" w:styleId="ListParagraph">
    <w:name w:val="List Paragraph"/>
    <w:basedOn w:val="Normal"/>
    <w:uiPriority w:val="34"/>
    <w:qFormat/>
    <w:rsid w:val="009B4D45"/>
    <w:pPr>
      <w:ind w:left="720"/>
      <w:contextualSpacing/>
    </w:pPr>
    <w:rPr>
      <w:rFonts w:ascii="Arial Narrow" w:eastAsia="Times New Roman" w:hAnsi="Arial Narrow" w:cs="Times New Roman"/>
      <w:kern w:val="0"/>
      <w:sz w:val="22"/>
      <w:szCs w:val="22"/>
      <w:lang w:val="en-US"/>
      <w14:ligatures w14:val="none"/>
    </w:rPr>
  </w:style>
  <w:style w:type="table" w:styleId="TableGrid">
    <w:name w:val="Table Grid"/>
    <w:basedOn w:val="TableNormal"/>
    <w:uiPriority w:val="39"/>
    <w:rsid w:val="009B4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e2c69041d304800d460e8085b1430d52">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cae480a1e9e45421205e0b77f6308117"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E96493-BBC4-4CA4-8BC4-78F646E9713A}"/>
</file>

<file path=customXml/itemProps2.xml><?xml version="1.0" encoding="utf-8"?>
<ds:datastoreItem xmlns:ds="http://schemas.openxmlformats.org/officeDocument/2006/customXml" ds:itemID="{04C3EC1C-D914-48C6-AA31-1EA84E5964E3}">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3.xml><?xml version="1.0" encoding="utf-8"?>
<ds:datastoreItem xmlns:ds="http://schemas.openxmlformats.org/officeDocument/2006/customXml" ds:itemID="{93D3868F-8E20-4E72-982D-F7612E3E7F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6</cp:revision>
  <dcterms:created xsi:type="dcterms:W3CDTF">2023-08-22T14:18:00Z</dcterms:created>
  <dcterms:modified xsi:type="dcterms:W3CDTF">2025-02-19T12:38:00Z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