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5D434" w14:textId="6D4B67C0" w:rsidR="00B611DC" w:rsidRPr="00877B4F" w:rsidRDefault="00B611DC" w:rsidP="00877B4F">
      <w:pPr>
        <w:spacing w:after="240"/>
        <w:rPr>
          <w:b/>
          <w:bCs/>
          <w:sz w:val="20"/>
          <w:szCs w:val="20"/>
        </w:rPr>
      </w:pPr>
      <w:r w:rsidRPr="00877B4F">
        <w:rPr>
          <w:b/>
          <w:bCs/>
          <w:sz w:val="20"/>
          <w:szCs w:val="20"/>
        </w:rPr>
        <w:t>Summary</w:t>
      </w:r>
    </w:p>
    <w:p w14:paraId="21FBE6EB" w14:textId="4EEBC381" w:rsidR="001E1DB0" w:rsidRPr="001E1DB0" w:rsidRDefault="001E1DB0" w:rsidP="001E1DB0">
      <w:pPr>
        <w:spacing w:after="120"/>
        <w:rPr>
          <w:szCs w:val="18"/>
        </w:rPr>
      </w:pPr>
      <w:r w:rsidRPr="001E1DB0">
        <w:rPr>
          <w:szCs w:val="18"/>
        </w:rPr>
        <w:t>To detail the requirements for persons carrying out excavation works including: the excavation of trenches</w:t>
      </w:r>
      <w:r>
        <w:rPr>
          <w:szCs w:val="18"/>
        </w:rPr>
        <w:t>.</w:t>
      </w:r>
    </w:p>
    <w:p w14:paraId="11E0CFE9" w14:textId="77777777" w:rsidR="00D12B1F" w:rsidRDefault="00D12B1F">
      <w:pPr>
        <w:rPr>
          <w:b/>
          <w:bCs/>
        </w:rPr>
      </w:pPr>
    </w:p>
    <w:p w14:paraId="7E0672F9" w14:textId="3479EC2D" w:rsidR="00B611DC" w:rsidRPr="00877B4F" w:rsidRDefault="00B611DC" w:rsidP="00877B4F">
      <w:pPr>
        <w:spacing w:after="240"/>
        <w:rPr>
          <w:b/>
          <w:bCs/>
          <w:sz w:val="20"/>
          <w:szCs w:val="20"/>
        </w:rPr>
      </w:pPr>
      <w:r w:rsidRPr="00877B4F">
        <w:rPr>
          <w:b/>
          <w:bCs/>
          <w:sz w:val="20"/>
          <w:szCs w:val="20"/>
        </w:rPr>
        <w:t>Definitions</w:t>
      </w:r>
    </w:p>
    <w:p w14:paraId="7B354279" w14:textId="77777777" w:rsidR="001E1DB0" w:rsidRPr="001E1DB0" w:rsidRDefault="001E1DB0" w:rsidP="001E1DB0">
      <w:pPr>
        <w:spacing w:after="120"/>
        <w:rPr>
          <w:szCs w:val="18"/>
        </w:rPr>
      </w:pPr>
      <w:r w:rsidRPr="001E1DB0">
        <w:rPr>
          <w:szCs w:val="18"/>
        </w:rPr>
        <w:t>Trench – opening whose length is greater than its depth and the width is less than its length.</w:t>
      </w:r>
    </w:p>
    <w:p w14:paraId="62C7EDBE" w14:textId="77777777" w:rsidR="001E1DB0" w:rsidRPr="001E1DB0" w:rsidRDefault="001E1DB0" w:rsidP="001E1DB0">
      <w:pPr>
        <w:spacing w:after="120"/>
        <w:rPr>
          <w:szCs w:val="18"/>
        </w:rPr>
      </w:pPr>
      <w:r w:rsidRPr="001E1DB0">
        <w:rPr>
          <w:szCs w:val="18"/>
        </w:rPr>
        <w:t>Deep Excavation – means a trench which is deeper than 1.4 metres and a shaft deeper than 2.0 metres.</w:t>
      </w:r>
    </w:p>
    <w:p w14:paraId="2AF88677" w14:textId="77777777" w:rsidR="001E1DB0" w:rsidRPr="001E1DB0" w:rsidRDefault="001E1DB0" w:rsidP="001E1DB0">
      <w:pPr>
        <w:spacing w:after="120"/>
        <w:rPr>
          <w:szCs w:val="18"/>
        </w:rPr>
      </w:pPr>
      <w:r w:rsidRPr="001E1DB0">
        <w:rPr>
          <w:szCs w:val="18"/>
        </w:rPr>
        <w:t>Shallow Excavation – means a trench shallower than 1.4 metres and a shaft shallower than 2.0 metres.</w:t>
      </w:r>
    </w:p>
    <w:p w14:paraId="1B4B410D" w14:textId="0370E39F" w:rsidR="001E1DB0" w:rsidRPr="001E1DB0" w:rsidRDefault="001E1DB0" w:rsidP="001E1DB0">
      <w:pPr>
        <w:spacing w:after="120"/>
        <w:rPr>
          <w:szCs w:val="18"/>
        </w:rPr>
      </w:pPr>
      <w:r w:rsidRPr="001E1DB0">
        <w:rPr>
          <w:szCs w:val="18"/>
        </w:rPr>
        <w:t>Excavation Supervisor – means a</w:t>
      </w:r>
      <w:r>
        <w:rPr>
          <w:szCs w:val="18"/>
        </w:rPr>
        <w:t>n</w:t>
      </w:r>
      <w:r w:rsidRPr="001E1DB0">
        <w:rPr>
          <w:szCs w:val="18"/>
        </w:rPr>
        <w:t xml:space="preserve"> </w:t>
      </w:r>
      <w:r>
        <w:rPr>
          <w:szCs w:val="18"/>
        </w:rPr>
        <w:t>INFRATEC</w:t>
      </w:r>
      <w:r w:rsidRPr="001E1DB0">
        <w:rPr>
          <w:szCs w:val="18"/>
        </w:rPr>
        <w:t xml:space="preserve"> employee who has been nominated by the Area Supervisor/Manager to supervise trenching and excavation works after:</w:t>
      </w:r>
    </w:p>
    <w:p w14:paraId="310B3D94" w14:textId="77777777" w:rsidR="001E1DB0" w:rsidRPr="001E1DB0" w:rsidRDefault="001E1DB0" w:rsidP="001E1DB0">
      <w:pPr>
        <w:pStyle w:val="ListParagraph"/>
        <w:numPr>
          <w:ilvl w:val="0"/>
          <w:numId w:val="11"/>
        </w:numPr>
        <w:spacing w:after="120"/>
        <w:rPr>
          <w:szCs w:val="18"/>
        </w:rPr>
      </w:pPr>
      <w:r w:rsidRPr="001E1DB0">
        <w:rPr>
          <w:szCs w:val="18"/>
        </w:rPr>
        <w:t>Completion of an accredited trenching and shoring course (or Mine Managers Certificate)</w:t>
      </w:r>
    </w:p>
    <w:p w14:paraId="463BB348" w14:textId="5AD9C34D" w:rsidR="001E1DB0" w:rsidRPr="001E1DB0" w:rsidRDefault="001E1DB0" w:rsidP="001E1DB0">
      <w:pPr>
        <w:pStyle w:val="ListParagraph"/>
        <w:numPr>
          <w:ilvl w:val="0"/>
          <w:numId w:val="11"/>
        </w:numPr>
        <w:spacing w:after="120"/>
        <w:rPr>
          <w:szCs w:val="18"/>
        </w:rPr>
      </w:pPr>
      <w:r w:rsidRPr="001E1DB0">
        <w:rPr>
          <w:szCs w:val="18"/>
        </w:rPr>
        <w:t xml:space="preserve">Demonstration of suitable experience in excavation </w:t>
      </w:r>
      <w:proofErr w:type="gramStart"/>
      <w:r w:rsidRPr="001E1DB0">
        <w:rPr>
          <w:szCs w:val="18"/>
        </w:rPr>
        <w:t>works</w:t>
      </w:r>
      <w:proofErr w:type="gramEnd"/>
    </w:p>
    <w:p w14:paraId="2B4E90D8" w14:textId="127CA0F7" w:rsidR="001E1DB0" w:rsidRPr="001E1DB0" w:rsidRDefault="001E1DB0" w:rsidP="001E1DB0">
      <w:pPr>
        <w:rPr>
          <w:szCs w:val="18"/>
        </w:rPr>
      </w:pPr>
    </w:p>
    <w:p w14:paraId="0013E1AD" w14:textId="6F264C6B" w:rsidR="001E1DB0" w:rsidRPr="001E1DB0" w:rsidRDefault="001E1DB0" w:rsidP="001E1DB0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Responsibilities and Authorities</w:t>
      </w:r>
    </w:p>
    <w:p w14:paraId="46EC1DE2" w14:textId="77777777" w:rsidR="001E1DB0" w:rsidRPr="001E1DB0" w:rsidRDefault="001E1DB0" w:rsidP="001E1DB0">
      <w:pPr>
        <w:spacing w:after="120"/>
        <w:rPr>
          <w:szCs w:val="18"/>
          <w:u w:val="single"/>
        </w:rPr>
      </w:pPr>
      <w:r w:rsidRPr="001E1DB0">
        <w:rPr>
          <w:szCs w:val="18"/>
          <w:u w:val="single"/>
        </w:rPr>
        <w:t>Area Supervisor/Manager</w:t>
      </w:r>
    </w:p>
    <w:p w14:paraId="6B4341D6" w14:textId="77777777" w:rsidR="001E1DB0" w:rsidRPr="001E1DB0" w:rsidRDefault="001E1DB0" w:rsidP="001E1DB0">
      <w:pPr>
        <w:pStyle w:val="ListParagraph"/>
        <w:numPr>
          <w:ilvl w:val="0"/>
          <w:numId w:val="15"/>
        </w:numPr>
        <w:spacing w:after="120"/>
        <w:rPr>
          <w:szCs w:val="18"/>
        </w:rPr>
      </w:pPr>
      <w:r w:rsidRPr="001E1DB0">
        <w:rPr>
          <w:szCs w:val="18"/>
        </w:rPr>
        <w:t>Monitor to ensure staff members are following appropriate excavation procedures.</w:t>
      </w:r>
    </w:p>
    <w:p w14:paraId="0E41ADAD" w14:textId="10304600" w:rsidR="001E1DB0" w:rsidRPr="001E1DB0" w:rsidRDefault="001E1DB0" w:rsidP="001E1DB0">
      <w:pPr>
        <w:pStyle w:val="ListParagraph"/>
        <w:numPr>
          <w:ilvl w:val="0"/>
          <w:numId w:val="15"/>
        </w:numPr>
        <w:spacing w:after="120"/>
        <w:rPr>
          <w:szCs w:val="18"/>
        </w:rPr>
      </w:pPr>
      <w:r w:rsidRPr="001E1DB0">
        <w:rPr>
          <w:szCs w:val="18"/>
        </w:rPr>
        <w:t xml:space="preserve">Ensure new staff members are provided with information regarding </w:t>
      </w:r>
      <w:r>
        <w:rPr>
          <w:szCs w:val="18"/>
        </w:rPr>
        <w:t>INFRATEC’s</w:t>
      </w:r>
      <w:r w:rsidRPr="001E1DB0">
        <w:rPr>
          <w:szCs w:val="18"/>
        </w:rPr>
        <w:t xml:space="preserve"> procedures for trenching operations</w:t>
      </w:r>
      <w:r>
        <w:rPr>
          <w:szCs w:val="18"/>
        </w:rPr>
        <w:t>.</w:t>
      </w:r>
    </w:p>
    <w:p w14:paraId="73764A7B" w14:textId="77777777" w:rsidR="001E1DB0" w:rsidRDefault="001E1DB0" w:rsidP="001E1DB0">
      <w:pPr>
        <w:pStyle w:val="BodyText"/>
        <w:spacing w:before="3"/>
      </w:pPr>
    </w:p>
    <w:p w14:paraId="1C1436AA" w14:textId="77777777" w:rsidR="001E1DB0" w:rsidRPr="001E1DB0" w:rsidRDefault="001E1DB0" w:rsidP="001E1DB0">
      <w:pPr>
        <w:spacing w:after="120"/>
        <w:rPr>
          <w:szCs w:val="18"/>
          <w:u w:val="single"/>
        </w:rPr>
      </w:pPr>
      <w:r w:rsidRPr="001E1DB0">
        <w:rPr>
          <w:szCs w:val="18"/>
          <w:u w:val="single"/>
        </w:rPr>
        <w:t>Area Coordinator/site manager</w:t>
      </w:r>
    </w:p>
    <w:p w14:paraId="4E81D37A" w14:textId="3B49C39C" w:rsidR="001E1DB0" w:rsidRPr="001E1DB0" w:rsidRDefault="001E1DB0" w:rsidP="001E1DB0">
      <w:pPr>
        <w:pStyle w:val="ListParagraph"/>
        <w:numPr>
          <w:ilvl w:val="0"/>
          <w:numId w:val="16"/>
        </w:numPr>
        <w:spacing w:after="120"/>
        <w:rPr>
          <w:szCs w:val="18"/>
        </w:rPr>
      </w:pPr>
      <w:r w:rsidRPr="001E1DB0">
        <w:rPr>
          <w:szCs w:val="18"/>
        </w:rPr>
        <w:t>Ensure individual works are carried out in accordance with the excavation procedure and Risk assessment</w:t>
      </w:r>
      <w:r>
        <w:rPr>
          <w:szCs w:val="18"/>
        </w:rPr>
        <w:t>.</w:t>
      </w:r>
    </w:p>
    <w:p w14:paraId="659AC03E" w14:textId="17E2114A" w:rsidR="001E1DB0" w:rsidRPr="001E1DB0" w:rsidRDefault="001E1DB0" w:rsidP="001E1DB0">
      <w:pPr>
        <w:pStyle w:val="ListParagraph"/>
        <w:numPr>
          <w:ilvl w:val="0"/>
          <w:numId w:val="16"/>
        </w:numPr>
        <w:spacing w:after="120"/>
        <w:rPr>
          <w:szCs w:val="18"/>
        </w:rPr>
      </w:pPr>
      <w:r w:rsidRPr="001E1DB0">
        <w:rPr>
          <w:szCs w:val="18"/>
        </w:rPr>
        <w:t xml:space="preserve">Ensure the risk assessment is reviewed, </w:t>
      </w:r>
      <w:proofErr w:type="gramStart"/>
      <w:r w:rsidRPr="001E1DB0">
        <w:rPr>
          <w:szCs w:val="18"/>
        </w:rPr>
        <w:t>updated</w:t>
      </w:r>
      <w:proofErr w:type="gramEnd"/>
      <w:r w:rsidRPr="001E1DB0">
        <w:rPr>
          <w:szCs w:val="18"/>
        </w:rPr>
        <w:t xml:space="preserve"> and signed prior to commencement</w:t>
      </w:r>
      <w:r>
        <w:rPr>
          <w:szCs w:val="18"/>
        </w:rPr>
        <w:t>.</w:t>
      </w:r>
    </w:p>
    <w:p w14:paraId="7CCDEAF4" w14:textId="56BE00A6" w:rsidR="001E1DB0" w:rsidRPr="001E1DB0" w:rsidRDefault="001E1DB0" w:rsidP="001E1DB0">
      <w:pPr>
        <w:pStyle w:val="ListParagraph"/>
        <w:numPr>
          <w:ilvl w:val="0"/>
          <w:numId w:val="16"/>
        </w:numPr>
        <w:spacing w:after="120"/>
        <w:rPr>
          <w:szCs w:val="18"/>
        </w:rPr>
      </w:pPr>
      <w:r w:rsidRPr="001E1DB0">
        <w:rPr>
          <w:szCs w:val="18"/>
        </w:rPr>
        <w:t>Ensure that an approved Excavation Supervisor is available to supervise each work site that involves the excavation of trenches or shafts (excluding shallow excavations by hand)</w:t>
      </w:r>
      <w:r>
        <w:rPr>
          <w:szCs w:val="18"/>
        </w:rPr>
        <w:t>.</w:t>
      </w:r>
    </w:p>
    <w:p w14:paraId="02BB8A15" w14:textId="77777777" w:rsidR="001E1DB0" w:rsidRDefault="001E1DB0" w:rsidP="001E1DB0">
      <w:pPr>
        <w:pStyle w:val="BodyText"/>
        <w:spacing w:before="1"/>
      </w:pPr>
    </w:p>
    <w:p w14:paraId="6FACE96B" w14:textId="77777777" w:rsidR="001E1DB0" w:rsidRPr="001E1DB0" w:rsidRDefault="001E1DB0" w:rsidP="001E1DB0">
      <w:pPr>
        <w:spacing w:after="120"/>
        <w:rPr>
          <w:szCs w:val="18"/>
          <w:u w:val="single"/>
        </w:rPr>
      </w:pPr>
      <w:r w:rsidRPr="001E1DB0">
        <w:rPr>
          <w:szCs w:val="18"/>
          <w:u w:val="single"/>
        </w:rPr>
        <w:t>All Employees</w:t>
      </w:r>
    </w:p>
    <w:p w14:paraId="5783AB01" w14:textId="77777777" w:rsidR="001E1DB0" w:rsidRPr="001E1DB0" w:rsidRDefault="001E1DB0" w:rsidP="001E1DB0">
      <w:pPr>
        <w:pStyle w:val="ListParagraph"/>
        <w:numPr>
          <w:ilvl w:val="0"/>
          <w:numId w:val="17"/>
        </w:numPr>
        <w:spacing w:after="120"/>
        <w:rPr>
          <w:szCs w:val="18"/>
        </w:rPr>
      </w:pPr>
      <w:r w:rsidRPr="001E1DB0">
        <w:rPr>
          <w:szCs w:val="18"/>
        </w:rPr>
        <w:t xml:space="preserve">Follow safe work practices at all times and review and sign safe work method </w:t>
      </w:r>
      <w:proofErr w:type="gramStart"/>
      <w:r w:rsidRPr="001E1DB0">
        <w:rPr>
          <w:szCs w:val="18"/>
        </w:rPr>
        <w:t>statement</w:t>
      </w:r>
      <w:proofErr w:type="gramEnd"/>
    </w:p>
    <w:p w14:paraId="71441CF4" w14:textId="77777777" w:rsidR="001E1DB0" w:rsidRPr="001E1DB0" w:rsidRDefault="001E1DB0" w:rsidP="001E1DB0">
      <w:pPr>
        <w:pStyle w:val="ListParagraph"/>
        <w:numPr>
          <w:ilvl w:val="0"/>
          <w:numId w:val="17"/>
        </w:numPr>
        <w:spacing w:after="120"/>
        <w:rPr>
          <w:szCs w:val="18"/>
        </w:rPr>
      </w:pPr>
      <w:r w:rsidRPr="001E1DB0">
        <w:rPr>
          <w:szCs w:val="18"/>
        </w:rPr>
        <w:t>Do not enter to a deep excavation until the Excavation Supervisor has assessed the excavation is safe to enter.</w:t>
      </w:r>
    </w:p>
    <w:p w14:paraId="5D17A371" w14:textId="77777777" w:rsidR="001E1DB0" w:rsidRPr="001E1DB0" w:rsidRDefault="001E1DB0" w:rsidP="001E1DB0">
      <w:pPr>
        <w:pStyle w:val="ListParagraph"/>
        <w:numPr>
          <w:ilvl w:val="0"/>
          <w:numId w:val="17"/>
        </w:numPr>
        <w:spacing w:after="120"/>
        <w:rPr>
          <w:szCs w:val="18"/>
        </w:rPr>
      </w:pPr>
      <w:r w:rsidRPr="001E1DB0">
        <w:rPr>
          <w:szCs w:val="18"/>
        </w:rPr>
        <w:t>Do not start or continue to work where the worksite is unsafe. Never work alone in a deep excavation.</w:t>
      </w:r>
    </w:p>
    <w:p w14:paraId="6EE607FB" w14:textId="77777777" w:rsidR="001E1DB0" w:rsidRDefault="001E1DB0" w:rsidP="001E1DB0">
      <w:pPr>
        <w:pStyle w:val="ListParagraph"/>
        <w:numPr>
          <w:ilvl w:val="0"/>
          <w:numId w:val="17"/>
        </w:numPr>
        <w:spacing w:after="120"/>
        <w:rPr>
          <w:szCs w:val="18"/>
        </w:rPr>
      </w:pPr>
      <w:r w:rsidRPr="001E1DB0">
        <w:rPr>
          <w:szCs w:val="18"/>
        </w:rPr>
        <w:t>Alert the Excavation or Site Supervisor, and fellow operators to any hazard or potential danger which may exist from the excavation (</w:t>
      </w:r>
      <w:proofErr w:type="gramStart"/>
      <w:r w:rsidRPr="001E1DB0">
        <w:rPr>
          <w:szCs w:val="18"/>
        </w:rPr>
        <w:t>e.g.</w:t>
      </w:r>
      <w:proofErr w:type="gramEnd"/>
      <w:r w:rsidRPr="001E1DB0">
        <w:rPr>
          <w:szCs w:val="18"/>
        </w:rPr>
        <w:t xml:space="preserve"> trench movement)</w:t>
      </w:r>
    </w:p>
    <w:p w14:paraId="7F9E3E85" w14:textId="77777777" w:rsidR="001E1DB0" w:rsidRPr="001E1DB0" w:rsidRDefault="001E1DB0" w:rsidP="001E1DB0">
      <w:pPr>
        <w:pStyle w:val="ListParagraph"/>
        <w:spacing w:after="120"/>
        <w:rPr>
          <w:szCs w:val="18"/>
        </w:rPr>
      </w:pPr>
    </w:p>
    <w:p w14:paraId="67012699" w14:textId="729E2F56" w:rsidR="001E1DB0" w:rsidRPr="001E1DB0" w:rsidRDefault="001E1DB0" w:rsidP="001E1DB0">
      <w:pPr>
        <w:spacing w:after="120"/>
        <w:rPr>
          <w:szCs w:val="18"/>
          <w:u w:val="single"/>
        </w:rPr>
      </w:pPr>
      <w:r>
        <w:rPr>
          <w:szCs w:val="18"/>
          <w:u w:val="single"/>
        </w:rPr>
        <w:t>Excavation Supervisor</w:t>
      </w:r>
    </w:p>
    <w:p w14:paraId="725295E9" w14:textId="77777777" w:rsidR="001E1DB0" w:rsidRPr="001E1DB0" w:rsidRDefault="001E1DB0" w:rsidP="000703B6">
      <w:pPr>
        <w:pStyle w:val="ListParagraph"/>
        <w:numPr>
          <w:ilvl w:val="0"/>
          <w:numId w:val="20"/>
        </w:numPr>
        <w:spacing w:after="120"/>
        <w:rPr>
          <w:szCs w:val="18"/>
        </w:rPr>
      </w:pPr>
      <w:r w:rsidRPr="001E1DB0">
        <w:rPr>
          <w:szCs w:val="18"/>
        </w:rPr>
        <w:t>Ensure safe work method statements (risk assessments) are performed for all deep excavations - excluding shallow trenches or shafts that are hand excavated.</w:t>
      </w:r>
    </w:p>
    <w:p w14:paraId="654E01F4" w14:textId="193E37EC" w:rsidR="001E1DB0" w:rsidRPr="001E1DB0" w:rsidRDefault="001E1DB0" w:rsidP="000703B6">
      <w:pPr>
        <w:pStyle w:val="ListParagraph"/>
        <w:numPr>
          <w:ilvl w:val="0"/>
          <w:numId w:val="20"/>
        </w:numPr>
        <w:spacing w:after="120"/>
        <w:rPr>
          <w:szCs w:val="18"/>
        </w:rPr>
      </w:pPr>
      <w:r w:rsidRPr="001E1DB0">
        <w:rPr>
          <w:szCs w:val="18"/>
        </w:rPr>
        <w:t>Ensure deep excavation activities are adequately supervised.</w:t>
      </w:r>
    </w:p>
    <w:p w14:paraId="7CADE6A5" w14:textId="77777777" w:rsidR="001E1DB0" w:rsidRPr="001E1DB0" w:rsidRDefault="001E1DB0" w:rsidP="000703B6">
      <w:pPr>
        <w:pStyle w:val="ListParagraph"/>
        <w:numPr>
          <w:ilvl w:val="0"/>
          <w:numId w:val="20"/>
        </w:numPr>
        <w:spacing w:after="120"/>
        <w:rPr>
          <w:szCs w:val="18"/>
        </w:rPr>
      </w:pPr>
      <w:r w:rsidRPr="001E1DB0">
        <w:rPr>
          <w:szCs w:val="18"/>
        </w:rPr>
        <w:t>Carry out periodic inspections of deep excavations and record the details of such inspections.</w:t>
      </w:r>
    </w:p>
    <w:p w14:paraId="3676558F" w14:textId="77777777" w:rsidR="001E1DB0" w:rsidRPr="001E1DB0" w:rsidRDefault="001E1DB0" w:rsidP="000703B6">
      <w:pPr>
        <w:pStyle w:val="ListParagraph"/>
        <w:numPr>
          <w:ilvl w:val="0"/>
          <w:numId w:val="20"/>
        </w:numPr>
        <w:spacing w:after="120"/>
        <w:rPr>
          <w:szCs w:val="18"/>
        </w:rPr>
      </w:pPr>
      <w:r w:rsidRPr="001E1DB0">
        <w:rPr>
          <w:szCs w:val="18"/>
        </w:rPr>
        <w:t>Respond immediately to excavation and trenching hazards raised by employees working in and around the excavation. Investigate these issues and where necessary implement control measures to address them.</w:t>
      </w:r>
    </w:p>
    <w:p w14:paraId="74BD0E1C" w14:textId="77777777" w:rsidR="001E1DB0" w:rsidRPr="001E1DB0" w:rsidRDefault="001E1DB0" w:rsidP="000703B6">
      <w:pPr>
        <w:pStyle w:val="ListParagraph"/>
        <w:numPr>
          <w:ilvl w:val="0"/>
          <w:numId w:val="20"/>
        </w:numPr>
        <w:spacing w:after="120"/>
        <w:rPr>
          <w:szCs w:val="18"/>
        </w:rPr>
      </w:pPr>
      <w:r w:rsidRPr="001E1DB0">
        <w:rPr>
          <w:szCs w:val="18"/>
        </w:rPr>
        <w:t>Ensure employees do not enter a deep excavation before an assessment has been made that the excavation is safe to enter.</w:t>
      </w:r>
    </w:p>
    <w:p w14:paraId="71C2C160" w14:textId="77777777" w:rsidR="001E1DB0" w:rsidRDefault="001E1DB0" w:rsidP="001E1DB0">
      <w:pPr>
        <w:rPr>
          <w:b/>
          <w:bCs/>
          <w:sz w:val="20"/>
          <w:szCs w:val="20"/>
        </w:rPr>
      </w:pPr>
    </w:p>
    <w:p w14:paraId="1309E763" w14:textId="77777777" w:rsidR="000703B6" w:rsidRDefault="000703B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049560CB" w14:textId="5874C72D" w:rsidR="001E1DB0" w:rsidRPr="001E1DB0" w:rsidRDefault="001E1DB0" w:rsidP="001E1DB0">
      <w:pPr>
        <w:spacing w:after="240"/>
        <w:rPr>
          <w:b/>
          <w:bCs/>
          <w:sz w:val="20"/>
          <w:szCs w:val="20"/>
        </w:rPr>
      </w:pPr>
      <w:r w:rsidRPr="001E1DB0">
        <w:rPr>
          <w:b/>
          <w:bCs/>
          <w:sz w:val="20"/>
          <w:szCs w:val="20"/>
        </w:rPr>
        <w:lastRenderedPageBreak/>
        <w:t>Hazards and Controls</w:t>
      </w:r>
    </w:p>
    <w:p w14:paraId="5FDA4615" w14:textId="48A1691D" w:rsidR="001E1DB0" w:rsidRPr="001E1DB0" w:rsidRDefault="001E1DB0" w:rsidP="001E1DB0">
      <w:pPr>
        <w:spacing w:after="120"/>
        <w:rPr>
          <w:szCs w:val="18"/>
        </w:rPr>
      </w:pPr>
      <w:r w:rsidRPr="001E1DB0">
        <w:rPr>
          <w:szCs w:val="18"/>
        </w:rPr>
        <w:t>The following table lists common hazards associated with excavation work and examples of control measures:</w:t>
      </w:r>
    </w:p>
    <w:tbl>
      <w:tblPr>
        <w:tblW w:w="907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2"/>
        <w:gridCol w:w="4530"/>
      </w:tblGrid>
      <w:tr w:rsidR="001E1DB0" w14:paraId="7EF072D0" w14:textId="77777777" w:rsidTr="000703B6">
        <w:trPr>
          <w:trHeight w:val="227"/>
        </w:trPr>
        <w:tc>
          <w:tcPr>
            <w:tcW w:w="4542" w:type="dxa"/>
            <w:shd w:val="clear" w:color="auto" w:fill="7F7F7F"/>
            <w:vAlign w:val="center"/>
          </w:tcPr>
          <w:p w14:paraId="53BF794E" w14:textId="77777777" w:rsidR="001E1DB0" w:rsidRPr="000703B6" w:rsidRDefault="001E1DB0" w:rsidP="001E1DB0">
            <w:pPr>
              <w:pStyle w:val="TableParagraph"/>
              <w:ind w:left="107"/>
              <w:rPr>
                <w:rFonts w:ascii="Arial"/>
                <w:b/>
                <w:color w:val="FFFFFF" w:themeColor="background1"/>
                <w:sz w:val="18"/>
                <w:szCs w:val="18"/>
              </w:rPr>
            </w:pPr>
            <w:r w:rsidRPr="000703B6">
              <w:rPr>
                <w:rFonts w:ascii="Arial"/>
                <w:b/>
                <w:color w:val="FFFFFF" w:themeColor="background1"/>
                <w:sz w:val="18"/>
                <w:szCs w:val="18"/>
              </w:rPr>
              <w:t>Potential</w:t>
            </w:r>
            <w:r w:rsidRPr="000703B6">
              <w:rPr>
                <w:rFonts w:ascii="Arial"/>
                <w:b/>
                <w:color w:val="FFFFFF" w:themeColor="background1"/>
                <w:spacing w:val="-10"/>
                <w:sz w:val="18"/>
                <w:szCs w:val="18"/>
              </w:rPr>
              <w:t xml:space="preserve"> </w:t>
            </w:r>
            <w:r w:rsidRPr="000703B6">
              <w:rPr>
                <w:rFonts w:ascii="Arial"/>
                <w:b/>
                <w:color w:val="FFFFFF" w:themeColor="background1"/>
                <w:spacing w:val="-2"/>
                <w:sz w:val="18"/>
                <w:szCs w:val="18"/>
              </w:rPr>
              <w:t>hazards</w:t>
            </w:r>
          </w:p>
        </w:tc>
        <w:tc>
          <w:tcPr>
            <w:tcW w:w="4530" w:type="dxa"/>
            <w:shd w:val="clear" w:color="auto" w:fill="7F7F7F"/>
            <w:vAlign w:val="center"/>
          </w:tcPr>
          <w:p w14:paraId="739D91D4" w14:textId="77777777" w:rsidR="001E1DB0" w:rsidRPr="000703B6" w:rsidRDefault="001E1DB0" w:rsidP="001E1DB0">
            <w:pPr>
              <w:pStyle w:val="TableParagraph"/>
              <w:ind w:left="108"/>
              <w:rPr>
                <w:rFonts w:ascii="Arial"/>
                <w:b/>
                <w:color w:val="FFFFFF" w:themeColor="background1"/>
                <w:sz w:val="18"/>
                <w:szCs w:val="18"/>
              </w:rPr>
            </w:pPr>
            <w:r w:rsidRPr="000703B6">
              <w:rPr>
                <w:rFonts w:ascii="Arial"/>
                <w:b/>
                <w:color w:val="FFFFFF" w:themeColor="background1"/>
                <w:sz w:val="18"/>
                <w:szCs w:val="18"/>
              </w:rPr>
              <w:t>Examples</w:t>
            </w:r>
            <w:r w:rsidRPr="000703B6">
              <w:rPr>
                <w:rFonts w:ascii="Arial"/>
                <w:b/>
                <w:color w:val="FFFFFF" w:themeColor="background1"/>
                <w:spacing w:val="-7"/>
                <w:sz w:val="18"/>
                <w:szCs w:val="18"/>
              </w:rPr>
              <w:t xml:space="preserve"> </w:t>
            </w:r>
            <w:r w:rsidRPr="000703B6">
              <w:rPr>
                <w:rFonts w:ascii="Arial"/>
                <w:b/>
                <w:color w:val="FFFFFF" w:themeColor="background1"/>
                <w:sz w:val="18"/>
                <w:szCs w:val="18"/>
              </w:rPr>
              <w:t>of</w:t>
            </w:r>
            <w:r w:rsidRPr="000703B6">
              <w:rPr>
                <w:rFonts w:ascii="Arial"/>
                <w:b/>
                <w:color w:val="FFFFFF" w:themeColor="background1"/>
                <w:spacing w:val="-7"/>
                <w:sz w:val="18"/>
                <w:szCs w:val="18"/>
              </w:rPr>
              <w:t xml:space="preserve"> </w:t>
            </w:r>
            <w:r w:rsidRPr="000703B6">
              <w:rPr>
                <w:rFonts w:ascii="Arial"/>
                <w:b/>
                <w:color w:val="FFFFFF" w:themeColor="background1"/>
                <w:sz w:val="18"/>
                <w:szCs w:val="18"/>
              </w:rPr>
              <w:t>control</w:t>
            </w:r>
            <w:r w:rsidRPr="000703B6">
              <w:rPr>
                <w:rFonts w:ascii="Arial"/>
                <w:b/>
                <w:color w:val="FFFFFF" w:themeColor="background1"/>
                <w:spacing w:val="-6"/>
                <w:sz w:val="18"/>
                <w:szCs w:val="18"/>
              </w:rPr>
              <w:t xml:space="preserve"> </w:t>
            </w:r>
            <w:r w:rsidRPr="000703B6">
              <w:rPr>
                <w:rFonts w:ascii="Arial"/>
                <w:b/>
                <w:color w:val="FFFFFF" w:themeColor="background1"/>
                <w:spacing w:val="-2"/>
                <w:sz w:val="18"/>
                <w:szCs w:val="18"/>
              </w:rPr>
              <w:t>measures</w:t>
            </w:r>
          </w:p>
        </w:tc>
      </w:tr>
      <w:tr w:rsidR="001E1DB0" w14:paraId="76EF0213" w14:textId="77777777" w:rsidTr="000703B6">
        <w:trPr>
          <w:trHeight w:val="227"/>
        </w:trPr>
        <w:tc>
          <w:tcPr>
            <w:tcW w:w="4542" w:type="dxa"/>
            <w:vAlign w:val="center"/>
          </w:tcPr>
          <w:p w14:paraId="69719F0E" w14:textId="77777777" w:rsidR="001E1DB0" w:rsidRPr="001E1DB0" w:rsidRDefault="001E1DB0" w:rsidP="001E1DB0">
            <w:pPr>
              <w:pStyle w:val="TableParagraph"/>
              <w:ind w:left="107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Ground</w:t>
            </w:r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pacing w:val="-2"/>
                <w:sz w:val="18"/>
                <w:szCs w:val="18"/>
              </w:rPr>
              <w:t>collapse</w:t>
            </w:r>
          </w:p>
        </w:tc>
        <w:tc>
          <w:tcPr>
            <w:tcW w:w="4530" w:type="dxa"/>
            <w:vAlign w:val="center"/>
          </w:tcPr>
          <w:p w14:paraId="46EFC1EA" w14:textId="77777777" w:rsidR="001E1DB0" w:rsidRPr="001E1DB0" w:rsidRDefault="001E1DB0" w:rsidP="001E1DB0">
            <w:pPr>
              <w:pStyle w:val="TableParagraph"/>
              <w:ind w:left="108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The</w:t>
            </w:r>
            <w:r w:rsidRPr="001E1DB0">
              <w:rPr>
                <w:rFonts w:ascii="Arial"/>
                <w:color w:val="221E1F"/>
                <w:spacing w:val="-5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use</w:t>
            </w:r>
            <w:r w:rsidRPr="001E1DB0">
              <w:rPr>
                <w:rFonts w:ascii="Arial"/>
                <w:color w:val="221E1F"/>
                <w:spacing w:val="-5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of</w:t>
            </w:r>
            <w:r w:rsidRPr="001E1DB0">
              <w:rPr>
                <w:rFonts w:ascii="Arial"/>
                <w:color w:val="221E1F"/>
                <w:spacing w:val="-5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benching</w:t>
            </w:r>
            <w:r w:rsidRPr="001E1DB0">
              <w:rPr>
                <w:rFonts w:ascii="Arial"/>
                <w:color w:val="221E1F"/>
                <w:spacing w:val="-5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or</w:t>
            </w:r>
            <w:r w:rsidRPr="001E1DB0">
              <w:rPr>
                <w:rFonts w:ascii="Arial"/>
                <w:color w:val="221E1F"/>
                <w:spacing w:val="-5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the</w:t>
            </w:r>
            <w:r w:rsidRPr="001E1DB0">
              <w:rPr>
                <w:rFonts w:ascii="Arial"/>
                <w:color w:val="221E1F"/>
                <w:spacing w:val="-5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installation</w:t>
            </w:r>
            <w:r w:rsidRPr="001E1DB0">
              <w:rPr>
                <w:rFonts w:ascii="Arial"/>
                <w:color w:val="221E1F"/>
                <w:spacing w:val="-5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of</w:t>
            </w:r>
            <w:r w:rsidRPr="001E1DB0">
              <w:rPr>
                <w:rFonts w:ascii="Arial"/>
                <w:color w:val="221E1F"/>
                <w:spacing w:val="-5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ground support (</w:t>
            </w:r>
            <w:proofErr w:type="gramStart"/>
            <w:r w:rsidRPr="001E1DB0">
              <w:rPr>
                <w:rFonts w:ascii="Arial"/>
                <w:color w:val="221E1F"/>
                <w:sz w:val="18"/>
                <w:szCs w:val="18"/>
              </w:rPr>
              <w:t>e.g.</w:t>
            </w:r>
            <w:proofErr w:type="gramEnd"/>
            <w:r w:rsidRPr="001E1DB0">
              <w:rPr>
                <w:rFonts w:ascii="Arial"/>
                <w:color w:val="221E1F"/>
                <w:sz w:val="18"/>
                <w:szCs w:val="18"/>
              </w:rPr>
              <w:t xml:space="preserve"> shoring or shields)</w:t>
            </w:r>
          </w:p>
        </w:tc>
      </w:tr>
      <w:tr w:rsidR="001E1DB0" w14:paraId="0CE3AB19" w14:textId="77777777" w:rsidTr="000703B6">
        <w:trPr>
          <w:trHeight w:val="227"/>
        </w:trPr>
        <w:tc>
          <w:tcPr>
            <w:tcW w:w="4542" w:type="dxa"/>
            <w:vAlign w:val="center"/>
          </w:tcPr>
          <w:p w14:paraId="4A2F8B76" w14:textId="77777777" w:rsidR="001E1DB0" w:rsidRPr="001E1DB0" w:rsidRDefault="001E1DB0" w:rsidP="001E1DB0">
            <w:pPr>
              <w:pStyle w:val="TableParagraph"/>
              <w:ind w:left="107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Water</w:t>
            </w:r>
            <w:r w:rsidRPr="001E1DB0">
              <w:rPr>
                <w:rFonts w:ascii="Arial"/>
                <w:color w:val="221E1F"/>
                <w:spacing w:val="-6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pacing w:val="-2"/>
                <w:sz w:val="18"/>
                <w:szCs w:val="18"/>
              </w:rPr>
              <w:t>inrush</w:t>
            </w:r>
          </w:p>
        </w:tc>
        <w:tc>
          <w:tcPr>
            <w:tcW w:w="4530" w:type="dxa"/>
            <w:vAlign w:val="center"/>
          </w:tcPr>
          <w:p w14:paraId="1D0611C0" w14:textId="77777777" w:rsidR="001E1DB0" w:rsidRPr="001E1DB0" w:rsidRDefault="001E1DB0" w:rsidP="001E1DB0">
            <w:pPr>
              <w:pStyle w:val="TableParagraph"/>
              <w:ind w:left="108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Pumps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or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other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dewatering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systems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to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remove water and prevent build-up</w:t>
            </w:r>
          </w:p>
        </w:tc>
      </w:tr>
      <w:tr w:rsidR="001E1DB0" w14:paraId="00AB27EB" w14:textId="77777777" w:rsidTr="000703B6">
        <w:trPr>
          <w:trHeight w:val="227"/>
        </w:trPr>
        <w:tc>
          <w:tcPr>
            <w:tcW w:w="4542" w:type="dxa"/>
            <w:vAlign w:val="center"/>
          </w:tcPr>
          <w:p w14:paraId="1527A857" w14:textId="77777777" w:rsidR="001E1DB0" w:rsidRPr="001E1DB0" w:rsidRDefault="001E1DB0" w:rsidP="001E1DB0">
            <w:pPr>
              <w:pStyle w:val="TableParagraph"/>
              <w:ind w:left="107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pacing w:val="-2"/>
                <w:sz w:val="18"/>
                <w:szCs w:val="18"/>
              </w:rPr>
              <w:t>Falls</w:t>
            </w:r>
          </w:p>
        </w:tc>
        <w:tc>
          <w:tcPr>
            <w:tcW w:w="4530" w:type="dxa"/>
            <w:vAlign w:val="center"/>
          </w:tcPr>
          <w:p w14:paraId="2D71C54F" w14:textId="77777777" w:rsidR="001E1DB0" w:rsidRPr="001E1DB0" w:rsidRDefault="001E1DB0" w:rsidP="001E1DB0">
            <w:pPr>
              <w:pStyle w:val="TableParagraph"/>
              <w:ind w:left="108" w:right="148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Ramps,</w:t>
            </w:r>
            <w:r w:rsidRPr="001E1DB0">
              <w:rPr>
                <w:rFonts w:ascii="Arial"/>
                <w:color w:val="221E1F"/>
                <w:spacing w:val="-6"/>
                <w:sz w:val="18"/>
                <w:szCs w:val="18"/>
              </w:rPr>
              <w:t xml:space="preserve"> </w:t>
            </w:r>
            <w:proofErr w:type="gramStart"/>
            <w:r w:rsidRPr="001E1DB0">
              <w:rPr>
                <w:rFonts w:ascii="Arial"/>
                <w:color w:val="221E1F"/>
                <w:sz w:val="18"/>
                <w:szCs w:val="18"/>
              </w:rPr>
              <w:t>steps</w:t>
            </w:r>
            <w:proofErr w:type="gramEnd"/>
            <w:r w:rsidRPr="001E1DB0">
              <w:rPr>
                <w:rFonts w:ascii="Arial"/>
                <w:color w:val="221E1F"/>
                <w:spacing w:val="-6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or</w:t>
            </w:r>
            <w:r w:rsidRPr="001E1DB0">
              <w:rPr>
                <w:rFonts w:ascii="Arial"/>
                <w:color w:val="221E1F"/>
                <w:spacing w:val="-6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other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appropriate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access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into the excavation (</w:t>
            </w:r>
            <w:proofErr w:type="spellStart"/>
            <w:r w:rsidRPr="001E1DB0">
              <w:rPr>
                <w:rFonts w:ascii="Arial"/>
                <w:color w:val="221E1F"/>
                <w:sz w:val="18"/>
                <w:szCs w:val="18"/>
              </w:rPr>
              <w:t>eg.</w:t>
            </w:r>
            <w:proofErr w:type="spellEnd"/>
            <w:r w:rsidRPr="001E1DB0">
              <w:rPr>
                <w:rFonts w:ascii="Arial"/>
                <w:color w:val="221E1F"/>
                <w:sz w:val="18"/>
                <w:szCs w:val="18"/>
              </w:rPr>
              <w:t xml:space="preserve"> Ladders)</w:t>
            </w:r>
          </w:p>
        </w:tc>
      </w:tr>
      <w:tr w:rsidR="001E1DB0" w14:paraId="3984396A" w14:textId="77777777" w:rsidTr="000703B6">
        <w:trPr>
          <w:trHeight w:val="227"/>
        </w:trPr>
        <w:tc>
          <w:tcPr>
            <w:tcW w:w="4542" w:type="dxa"/>
            <w:vAlign w:val="center"/>
          </w:tcPr>
          <w:p w14:paraId="41270909" w14:textId="77777777" w:rsidR="001E1DB0" w:rsidRPr="001E1DB0" w:rsidRDefault="001E1DB0" w:rsidP="001E1DB0">
            <w:pPr>
              <w:pStyle w:val="TableParagraph"/>
              <w:ind w:left="107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Hazardous</w:t>
            </w:r>
            <w:r w:rsidRPr="001E1DB0">
              <w:rPr>
                <w:rFonts w:ascii="Arial"/>
                <w:color w:val="221E1F"/>
                <w:spacing w:val="-10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manual</w:t>
            </w:r>
            <w:r w:rsidRPr="001E1DB0">
              <w:rPr>
                <w:rFonts w:ascii="Arial"/>
                <w:color w:val="221E1F"/>
                <w:spacing w:val="-9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pacing w:val="-2"/>
                <w:sz w:val="18"/>
                <w:szCs w:val="18"/>
              </w:rPr>
              <w:t>tasks</w:t>
            </w:r>
          </w:p>
        </w:tc>
        <w:tc>
          <w:tcPr>
            <w:tcW w:w="4530" w:type="dxa"/>
            <w:vAlign w:val="center"/>
          </w:tcPr>
          <w:p w14:paraId="11926D9F" w14:textId="77777777" w:rsidR="001E1DB0" w:rsidRPr="001E1DB0" w:rsidRDefault="001E1DB0" w:rsidP="001E1DB0">
            <w:pPr>
              <w:pStyle w:val="TableParagraph"/>
              <w:ind w:left="108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Rotating</w:t>
            </w:r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tasks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between</w:t>
            </w:r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pacing w:val="-2"/>
                <w:sz w:val="18"/>
                <w:szCs w:val="18"/>
              </w:rPr>
              <w:t>workers</w:t>
            </w:r>
          </w:p>
        </w:tc>
      </w:tr>
      <w:tr w:rsidR="001E1DB0" w14:paraId="7161C8EB" w14:textId="77777777" w:rsidTr="000703B6">
        <w:trPr>
          <w:trHeight w:val="227"/>
        </w:trPr>
        <w:tc>
          <w:tcPr>
            <w:tcW w:w="4542" w:type="dxa"/>
            <w:vAlign w:val="center"/>
          </w:tcPr>
          <w:p w14:paraId="209B6A61" w14:textId="77777777" w:rsidR="001E1DB0" w:rsidRPr="001E1DB0" w:rsidRDefault="001E1DB0" w:rsidP="001E1DB0">
            <w:pPr>
              <w:pStyle w:val="TableParagraph"/>
              <w:ind w:left="107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Airborne</w:t>
            </w:r>
            <w:r w:rsidRPr="001E1DB0">
              <w:rPr>
                <w:rFonts w:ascii="Arial"/>
                <w:color w:val="221E1F"/>
                <w:spacing w:val="-13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contaminants</w:t>
            </w:r>
            <w:r w:rsidRPr="001E1DB0">
              <w:rPr>
                <w:rFonts w:ascii="Arial"/>
                <w:color w:val="221E1F"/>
                <w:spacing w:val="-13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(welding</w:t>
            </w:r>
            <w:r w:rsidRPr="001E1DB0">
              <w:rPr>
                <w:rFonts w:ascii="Arial"/>
                <w:color w:val="221E1F"/>
                <w:spacing w:val="-13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gases, sealants, etc.)</w:t>
            </w:r>
          </w:p>
        </w:tc>
        <w:tc>
          <w:tcPr>
            <w:tcW w:w="4530" w:type="dxa"/>
            <w:vAlign w:val="center"/>
          </w:tcPr>
          <w:p w14:paraId="054CE109" w14:textId="77777777" w:rsidR="001E1DB0" w:rsidRPr="001E1DB0" w:rsidRDefault="001E1DB0" w:rsidP="001E1DB0">
            <w:pPr>
              <w:pStyle w:val="TableParagraph"/>
              <w:ind w:left="108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Mechanical</w:t>
            </w:r>
            <w:r w:rsidRPr="001E1DB0">
              <w:rPr>
                <w:rFonts w:ascii="Arial"/>
                <w:color w:val="221E1F"/>
                <w:spacing w:val="-11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ventilation</w:t>
            </w:r>
            <w:r w:rsidRPr="001E1DB0">
              <w:rPr>
                <w:rFonts w:ascii="Arial"/>
                <w:color w:val="221E1F"/>
                <w:spacing w:val="-10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to</w:t>
            </w:r>
            <w:r w:rsidRPr="001E1DB0">
              <w:rPr>
                <w:rFonts w:ascii="Arial"/>
                <w:color w:val="221E1F"/>
                <w:spacing w:val="-10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remove</w:t>
            </w:r>
            <w:r w:rsidRPr="001E1DB0">
              <w:rPr>
                <w:rFonts w:ascii="Arial"/>
                <w:color w:val="221E1F"/>
                <w:spacing w:val="-10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 xml:space="preserve">airborne </w:t>
            </w:r>
            <w:r w:rsidRPr="001E1DB0">
              <w:rPr>
                <w:rFonts w:ascii="Arial"/>
                <w:color w:val="221E1F"/>
                <w:spacing w:val="-2"/>
                <w:sz w:val="18"/>
                <w:szCs w:val="18"/>
              </w:rPr>
              <w:t>contaminants</w:t>
            </w:r>
          </w:p>
        </w:tc>
      </w:tr>
      <w:tr w:rsidR="001E1DB0" w14:paraId="0ADBD1F9" w14:textId="77777777" w:rsidTr="000703B6">
        <w:trPr>
          <w:trHeight w:val="227"/>
        </w:trPr>
        <w:tc>
          <w:tcPr>
            <w:tcW w:w="4542" w:type="dxa"/>
            <w:vAlign w:val="center"/>
          </w:tcPr>
          <w:p w14:paraId="4F65D77B" w14:textId="77777777" w:rsidR="001E1DB0" w:rsidRPr="001E1DB0" w:rsidRDefault="001E1DB0" w:rsidP="001E1DB0">
            <w:pPr>
              <w:pStyle w:val="TableParagraph"/>
              <w:ind w:left="107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Buried</w:t>
            </w:r>
            <w:r w:rsidRPr="001E1DB0">
              <w:rPr>
                <w:rFonts w:ascii="Arial"/>
                <w:color w:val="221E1F"/>
                <w:spacing w:val="-9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contaminants</w:t>
            </w:r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(</w:t>
            </w:r>
            <w:proofErr w:type="gramStart"/>
            <w:r w:rsidRPr="001E1DB0">
              <w:rPr>
                <w:rFonts w:ascii="Arial"/>
                <w:color w:val="221E1F"/>
                <w:sz w:val="18"/>
                <w:szCs w:val="18"/>
              </w:rPr>
              <w:t>e.g.</w:t>
            </w:r>
            <w:proofErr w:type="gramEnd"/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pacing w:val="-2"/>
                <w:sz w:val="18"/>
                <w:szCs w:val="18"/>
              </w:rPr>
              <w:t>asbestos)</w:t>
            </w:r>
          </w:p>
        </w:tc>
        <w:tc>
          <w:tcPr>
            <w:tcW w:w="4530" w:type="dxa"/>
            <w:vAlign w:val="center"/>
          </w:tcPr>
          <w:p w14:paraId="11086A1F" w14:textId="77777777" w:rsidR="001E1DB0" w:rsidRPr="001E1DB0" w:rsidRDefault="001E1DB0" w:rsidP="001E1DB0">
            <w:pPr>
              <w:pStyle w:val="TableParagraph"/>
              <w:ind w:left="108" w:right="148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Training</w:t>
            </w:r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to</w:t>
            </w:r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identify</w:t>
            </w:r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buried</w:t>
            </w:r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contaminants</w:t>
            </w:r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and what action to take</w:t>
            </w:r>
          </w:p>
        </w:tc>
      </w:tr>
      <w:tr w:rsidR="001E1DB0" w14:paraId="73428191" w14:textId="77777777" w:rsidTr="000703B6">
        <w:trPr>
          <w:trHeight w:val="227"/>
        </w:trPr>
        <w:tc>
          <w:tcPr>
            <w:tcW w:w="4542" w:type="dxa"/>
            <w:vAlign w:val="center"/>
          </w:tcPr>
          <w:p w14:paraId="2E130577" w14:textId="77777777" w:rsidR="001E1DB0" w:rsidRPr="001E1DB0" w:rsidRDefault="001E1DB0" w:rsidP="001E1DB0">
            <w:pPr>
              <w:pStyle w:val="TableParagraph"/>
              <w:ind w:left="107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Underground</w:t>
            </w:r>
            <w:r w:rsidRPr="001E1DB0">
              <w:rPr>
                <w:rFonts w:ascii="Arial"/>
                <w:color w:val="221E1F"/>
                <w:spacing w:val="-13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pacing w:val="-2"/>
                <w:sz w:val="18"/>
                <w:szCs w:val="18"/>
              </w:rPr>
              <w:t>services</w:t>
            </w:r>
          </w:p>
        </w:tc>
        <w:tc>
          <w:tcPr>
            <w:tcW w:w="4530" w:type="dxa"/>
            <w:vAlign w:val="center"/>
          </w:tcPr>
          <w:p w14:paraId="2AC56F10" w14:textId="77777777" w:rsidR="001E1DB0" w:rsidRPr="001E1DB0" w:rsidRDefault="001E1DB0" w:rsidP="001E1DB0">
            <w:pPr>
              <w:pStyle w:val="TableParagraph"/>
              <w:ind w:left="108" w:right="148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Obtain</w:t>
            </w:r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information</w:t>
            </w:r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from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the</w:t>
            </w:r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relevant</w:t>
            </w:r>
            <w:r w:rsidRPr="001E1DB0">
              <w:rPr>
                <w:rFonts w:ascii="Arial"/>
                <w:color w:val="221E1F"/>
                <w:spacing w:val="-8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authorities on the location of underground services</w:t>
            </w:r>
          </w:p>
        </w:tc>
      </w:tr>
      <w:tr w:rsidR="001E1DB0" w14:paraId="5CBFE25F" w14:textId="77777777" w:rsidTr="000703B6">
        <w:trPr>
          <w:trHeight w:val="227"/>
        </w:trPr>
        <w:tc>
          <w:tcPr>
            <w:tcW w:w="4542" w:type="dxa"/>
            <w:vAlign w:val="center"/>
          </w:tcPr>
          <w:p w14:paraId="59717FD3" w14:textId="77777777" w:rsidR="001E1DB0" w:rsidRPr="001E1DB0" w:rsidRDefault="001E1DB0" w:rsidP="001E1DB0">
            <w:pPr>
              <w:pStyle w:val="TableParagraph"/>
              <w:ind w:left="107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sz w:val="18"/>
                <w:szCs w:val="18"/>
              </w:rPr>
              <w:t>Plant</w:t>
            </w:r>
            <w:r w:rsidRPr="001E1DB0">
              <w:rPr>
                <w:rFonts w:ascii="Arial"/>
                <w:spacing w:val="-10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sz w:val="18"/>
                <w:szCs w:val="18"/>
              </w:rPr>
              <w:t>and</w:t>
            </w:r>
            <w:r w:rsidRPr="001E1DB0">
              <w:rPr>
                <w:rFonts w:ascii="Arial"/>
                <w:spacing w:val="-10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sz w:val="18"/>
                <w:szCs w:val="18"/>
              </w:rPr>
              <w:t>Equipment</w:t>
            </w:r>
            <w:r w:rsidRPr="001E1DB0">
              <w:rPr>
                <w:rFonts w:ascii="Arial"/>
                <w:spacing w:val="-10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sz w:val="18"/>
                <w:szCs w:val="18"/>
              </w:rPr>
              <w:t>Hazards</w:t>
            </w:r>
            <w:r w:rsidRPr="001E1DB0">
              <w:rPr>
                <w:rFonts w:ascii="Arial"/>
                <w:spacing w:val="-10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sz w:val="18"/>
                <w:szCs w:val="18"/>
              </w:rPr>
              <w:t>(Being struck by mobile plant or loads)</w:t>
            </w:r>
          </w:p>
        </w:tc>
        <w:tc>
          <w:tcPr>
            <w:tcW w:w="4530" w:type="dxa"/>
            <w:vAlign w:val="center"/>
          </w:tcPr>
          <w:p w14:paraId="7241AE12" w14:textId="77777777" w:rsidR="001E1DB0" w:rsidRPr="001E1DB0" w:rsidRDefault="001E1DB0" w:rsidP="001E1DB0">
            <w:pPr>
              <w:pStyle w:val="TableParagraph"/>
              <w:ind w:left="108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color w:val="221E1F"/>
                <w:sz w:val="18"/>
                <w:szCs w:val="18"/>
              </w:rPr>
              <w:t>Exclusion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zones,</w:t>
            </w:r>
            <w:r w:rsidRPr="001E1DB0">
              <w:rPr>
                <w:rFonts w:ascii="Arial"/>
                <w:color w:val="221E1F"/>
                <w:spacing w:val="-6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hi-vis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proofErr w:type="gramStart"/>
            <w:r w:rsidRPr="001E1DB0">
              <w:rPr>
                <w:rFonts w:ascii="Arial"/>
                <w:color w:val="221E1F"/>
                <w:sz w:val="18"/>
                <w:szCs w:val="18"/>
              </w:rPr>
              <w:t>clothing</w:t>
            </w:r>
            <w:proofErr w:type="gramEnd"/>
            <w:r w:rsidRPr="001E1DB0">
              <w:rPr>
                <w:rFonts w:ascii="Arial"/>
                <w:color w:val="221E1F"/>
                <w:spacing w:val="-6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and</w:t>
            </w:r>
            <w:r w:rsidRPr="001E1DB0">
              <w:rPr>
                <w:rFonts w:ascii="Arial"/>
                <w:color w:val="221E1F"/>
                <w:spacing w:val="-7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z w:val="18"/>
                <w:szCs w:val="18"/>
              </w:rPr>
              <w:t>hard</w:t>
            </w:r>
            <w:r w:rsidRPr="001E1DB0">
              <w:rPr>
                <w:rFonts w:ascii="Arial"/>
                <w:color w:val="221E1F"/>
                <w:spacing w:val="-6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color w:val="221E1F"/>
                <w:spacing w:val="-4"/>
                <w:sz w:val="18"/>
                <w:szCs w:val="18"/>
              </w:rPr>
              <w:t>hats</w:t>
            </w:r>
          </w:p>
        </w:tc>
      </w:tr>
      <w:tr w:rsidR="001E1DB0" w14:paraId="149169DC" w14:textId="77777777" w:rsidTr="000703B6">
        <w:trPr>
          <w:trHeight w:val="227"/>
        </w:trPr>
        <w:tc>
          <w:tcPr>
            <w:tcW w:w="4542" w:type="dxa"/>
            <w:vAlign w:val="center"/>
          </w:tcPr>
          <w:p w14:paraId="485C3DD6" w14:textId="77777777" w:rsidR="001E1DB0" w:rsidRPr="001E1DB0" w:rsidRDefault="001E1DB0" w:rsidP="001E1DB0">
            <w:pPr>
              <w:pStyle w:val="TableParagraph"/>
              <w:ind w:left="107"/>
              <w:rPr>
                <w:rFonts w:ascii="Arial"/>
                <w:sz w:val="18"/>
                <w:szCs w:val="18"/>
              </w:rPr>
            </w:pPr>
            <w:r w:rsidRPr="001E1DB0">
              <w:rPr>
                <w:rFonts w:ascii="Arial"/>
                <w:sz w:val="18"/>
                <w:szCs w:val="18"/>
              </w:rPr>
              <w:t>Electrocution</w:t>
            </w:r>
            <w:r w:rsidRPr="001E1DB0">
              <w:rPr>
                <w:rFonts w:ascii="Arial"/>
                <w:spacing w:val="-9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sz w:val="18"/>
                <w:szCs w:val="18"/>
              </w:rPr>
              <w:t>-</w:t>
            </w:r>
            <w:r w:rsidRPr="001E1DB0">
              <w:rPr>
                <w:rFonts w:ascii="Arial"/>
                <w:spacing w:val="-9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sz w:val="18"/>
                <w:szCs w:val="18"/>
              </w:rPr>
              <w:t>machine</w:t>
            </w:r>
            <w:r w:rsidRPr="001E1DB0">
              <w:rPr>
                <w:rFonts w:ascii="Arial"/>
                <w:spacing w:val="-9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sz w:val="18"/>
                <w:szCs w:val="18"/>
              </w:rPr>
              <w:t>contacts</w:t>
            </w:r>
            <w:r w:rsidRPr="001E1DB0">
              <w:rPr>
                <w:rFonts w:ascii="Arial"/>
                <w:spacing w:val="-10"/>
                <w:sz w:val="18"/>
                <w:szCs w:val="18"/>
              </w:rPr>
              <w:t xml:space="preserve"> </w:t>
            </w:r>
            <w:r w:rsidRPr="001E1DB0">
              <w:rPr>
                <w:rFonts w:ascii="Arial"/>
                <w:sz w:val="18"/>
                <w:szCs w:val="18"/>
              </w:rPr>
              <w:t xml:space="preserve">live </w:t>
            </w:r>
            <w:r w:rsidRPr="001E1DB0">
              <w:rPr>
                <w:rFonts w:ascii="Arial"/>
                <w:spacing w:val="-2"/>
                <w:sz w:val="18"/>
                <w:szCs w:val="18"/>
              </w:rPr>
              <w:t>wires.</w:t>
            </w:r>
          </w:p>
        </w:tc>
        <w:tc>
          <w:tcPr>
            <w:tcW w:w="4530" w:type="dxa"/>
            <w:vAlign w:val="center"/>
          </w:tcPr>
          <w:p w14:paraId="15BD2717" w14:textId="77777777" w:rsidR="001E1DB0" w:rsidRPr="001E1DB0" w:rsidRDefault="001E1DB0" w:rsidP="001E1DB0">
            <w:pPr>
              <w:pStyle w:val="TableParagraph"/>
              <w:ind w:left="108"/>
              <w:rPr>
                <w:rFonts w:ascii="Arial" w:hAnsi="Arial"/>
                <w:sz w:val="18"/>
                <w:szCs w:val="18"/>
              </w:rPr>
            </w:pPr>
            <w:r w:rsidRPr="001E1DB0">
              <w:rPr>
                <w:rFonts w:ascii="Arial" w:hAnsi="Arial"/>
                <w:color w:val="221E1F"/>
                <w:sz w:val="18"/>
                <w:szCs w:val="18"/>
              </w:rPr>
              <w:t>Visual inspection of site – detailed safe work method</w:t>
            </w:r>
            <w:r w:rsidRPr="001E1DB0">
              <w:rPr>
                <w:rFonts w:ascii="Arial" w:hAnsi="Arial"/>
                <w:color w:val="221E1F"/>
                <w:spacing w:val="-6"/>
                <w:sz w:val="18"/>
                <w:szCs w:val="18"/>
              </w:rPr>
              <w:t xml:space="preserve"> </w:t>
            </w:r>
            <w:r w:rsidRPr="001E1DB0">
              <w:rPr>
                <w:rFonts w:ascii="Arial" w:hAnsi="Arial"/>
                <w:color w:val="221E1F"/>
                <w:sz w:val="18"/>
                <w:szCs w:val="18"/>
              </w:rPr>
              <w:t>statement.</w:t>
            </w:r>
            <w:r w:rsidRPr="001E1DB0">
              <w:rPr>
                <w:rFonts w:ascii="Arial" w:hAnsi="Arial"/>
                <w:color w:val="221E1F"/>
                <w:spacing w:val="-6"/>
                <w:sz w:val="18"/>
                <w:szCs w:val="18"/>
              </w:rPr>
              <w:t xml:space="preserve"> </w:t>
            </w:r>
            <w:r w:rsidRPr="001E1DB0">
              <w:rPr>
                <w:rFonts w:ascii="Arial" w:hAnsi="Arial"/>
                <w:color w:val="221E1F"/>
                <w:sz w:val="18"/>
                <w:szCs w:val="18"/>
              </w:rPr>
              <w:t>Use</w:t>
            </w:r>
            <w:r w:rsidRPr="001E1DB0">
              <w:rPr>
                <w:rFonts w:ascii="Arial" w:hAnsi="Arial"/>
                <w:color w:val="221E1F"/>
                <w:spacing w:val="-6"/>
                <w:sz w:val="18"/>
                <w:szCs w:val="18"/>
              </w:rPr>
              <w:t xml:space="preserve"> </w:t>
            </w:r>
            <w:r w:rsidRPr="001E1DB0">
              <w:rPr>
                <w:rFonts w:ascii="Arial" w:hAnsi="Arial"/>
                <w:color w:val="221E1F"/>
                <w:sz w:val="18"/>
                <w:szCs w:val="18"/>
              </w:rPr>
              <w:t>spotter</w:t>
            </w:r>
            <w:r w:rsidRPr="001E1DB0">
              <w:rPr>
                <w:rFonts w:ascii="Arial" w:hAnsi="Arial"/>
                <w:color w:val="221E1F"/>
                <w:spacing w:val="-6"/>
                <w:sz w:val="18"/>
                <w:szCs w:val="18"/>
              </w:rPr>
              <w:t xml:space="preserve"> </w:t>
            </w:r>
            <w:r w:rsidRPr="001E1DB0">
              <w:rPr>
                <w:rFonts w:ascii="Arial" w:hAnsi="Arial"/>
                <w:color w:val="221E1F"/>
                <w:sz w:val="18"/>
                <w:szCs w:val="18"/>
              </w:rPr>
              <w:t>if</w:t>
            </w:r>
            <w:r w:rsidRPr="001E1DB0">
              <w:rPr>
                <w:rFonts w:ascii="Arial" w:hAnsi="Arial"/>
                <w:color w:val="221E1F"/>
                <w:spacing w:val="-6"/>
                <w:sz w:val="18"/>
                <w:szCs w:val="18"/>
              </w:rPr>
              <w:t xml:space="preserve"> </w:t>
            </w:r>
            <w:r w:rsidRPr="001E1DB0">
              <w:rPr>
                <w:rFonts w:ascii="Arial" w:hAnsi="Arial"/>
                <w:color w:val="221E1F"/>
                <w:sz w:val="18"/>
                <w:szCs w:val="18"/>
              </w:rPr>
              <w:t>working</w:t>
            </w:r>
            <w:r w:rsidRPr="001E1DB0">
              <w:rPr>
                <w:rFonts w:ascii="Arial" w:hAnsi="Arial"/>
                <w:color w:val="221E1F"/>
                <w:spacing w:val="-6"/>
                <w:sz w:val="18"/>
                <w:szCs w:val="18"/>
              </w:rPr>
              <w:t xml:space="preserve"> </w:t>
            </w:r>
            <w:r w:rsidRPr="001E1DB0">
              <w:rPr>
                <w:rFonts w:ascii="Arial" w:hAnsi="Arial"/>
                <w:color w:val="221E1F"/>
                <w:sz w:val="18"/>
                <w:szCs w:val="18"/>
              </w:rPr>
              <w:t>in</w:t>
            </w:r>
            <w:r w:rsidRPr="001E1DB0">
              <w:rPr>
                <w:rFonts w:ascii="Arial" w:hAnsi="Arial"/>
                <w:color w:val="221E1F"/>
                <w:spacing w:val="-6"/>
                <w:sz w:val="18"/>
                <w:szCs w:val="18"/>
              </w:rPr>
              <w:t xml:space="preserve"> </w:t>
            </w:r>
            <w:r w:rsidRPr="001E1DB0">
              <w:rPr>
                <w:rFonts w:ascii="Arial" w:hAnsi="Arial"/>
                <w:color w:val="221E1F"/>
                <w:sz w:val="18"/>
                <w:szCs w:val="18"/>
              </w:rPr>
              <w:t>the spotter zone</w:t>
            </w:r>
          </w:p>
        </w:tc>
      </w:tr>
    </w:tbl>
    <w:p w14:paraId="6C03118E" w14:textId="77777777" w:rsidR="001E1DB0" w:rsidRPr="001E1DB0" w:rsidRDefault="001E1DB0" w:rsidP="001E1DB0">
      <w:pPr>
        <w:spacing w:after="120"/>
        <w:rPr>
          <w:szCs w:val="18"/>
        </w:rPr>
      </w:pPr>
    </w:p>
    <w:p w14:paraId="1BD1CFD3" w14:textId="59A9D5CB" w:rsidR="000703B6" w:rsidRDefault="000703B6" w:rsidP="000703B6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Training &amp; Competency</w:t>
      </w:r>
    </w:p>
    <w:p w14:paraId="59BB1AD7" w14:textId="77777777" w:rsidR="000703B6" w:rsidRPr="000703B6" w:rsidRDefault="000703B6" w:rsidP="000703B6">
      <w:pPr>
        <w:pStyle w:val="ListParagraph"/>
        <w:numPr>
          <w:ilvl w:val="0"/>
          <w:numId w:val="21"/>
        </w:numPr>
        <w:spacing w:after="120"/>
        <w:rPr>
          <w:szCs w:val="18"/>
        </w:rPr>
      </w:pPr>
      <w:r w:rsidRPr="000703B6">
        <w:rPr>
          <w:szCs w:val="18"/>
        </w:rPr>
        <w:t xml:space="preserve">All deep excavations shall be supervised by an Excavation Supervisor who is required to </w:t>
      </w:r>
      <w:proofErr w:type="gramStart"/>
      <w:r w:rsidRPr="000703B6">
        <w:rPr>
          <w:szCs w:val="18"/>
        </w:rPr>
        <w:t>be present at all times</w:t>
      </w:r>
      <w:proofErr w:type="gramEnd"/>
      <w:r w:rsidRPr="000703B6">
        <w:rPr>
          <w:szCs w:val="18"/>
        </w:rPr>
        <w:t xml:space="preserve"> where persons are working in a deep excavation.</w:t>
      </w:r>
    </w:p>
    <w:p w14:paraId="7A018092" w14:textId="77777777" w:rsidR="000703B6" w:rsidRPr="000703B6" w:rsidRDefault="000703B6" w:rsidP="000703B6">
      <w:pPr>
        <w:pStyle w:val="ListParagraph"/>
        <w:numPr>
          <w:ilvl w:val="0"/>
          <w:numId w:val="21"/>
        </w:numPr>
        <w:spacing w:after="120"/>
        <w:rPr>
          <w:szCs w:val="18"/>
        </w:rPr>
      </w:pPr>
      <w:r w:rsidRPr="000703B6">
        <w:rPr>
          <w:szCs w:val="18"/>
        </w:rPr>
        <w:t>All shallow excavations shall be supervised by a fully trained operator who has completed an accredited trenching and shoring course.</w:t>
      </w:r>
    </w:p>
    <w:p w14:paraId="26AE5268" w14:textId="36C34A29" w:rsidR="000703B6" w:rsidRPr="000703B6" w:rsidRDefault="000703B6" w:rsidP="000703B6">
      <w:pPr>
        <w:pStyle w:val="ListParagraph"/>
        <w:numPr>
          <w:ilvl w:val="0"/>
          <w:numId w:val="21"/>
        </w:numPr>
        <w:spacing w:after="120"/>
        <w:rPr>
          <w:szCs w:val="18"/>
        </w:rPr>
      </w:pPr>
      <w:r w:rsidRPr="000703B6">
        <w:rPr>
          <w:szCs w:val="18"/>
        </w:rPr>
        <w:t>All persons working in deep excavations must have read and understand this excavation procedure and safe work method statement</w:t>
      </w:r>
      <w:r>
        <w:rPr>
          <w:szCs w:val="18"/>
        </w:rPr>
        <w:t>.</w:t>
      </w:r>
    </w:p>
    <w:p w14:paraId="1B2E0918" w14:textId="6F9255EA" w:rsidR="000703B6" w:rsidRPr="000703B6" w:rsidRDefault="000703B6" w:rsidP="000703B6">
      <w:pPr>
        <w:pStyle w:val="ListParagraph"/>
        <w:numPr>
          <w:ilvl w:val="0"/>
          <w:numId w:val="21"/>
        </w:numPr>
        <w:spacing w:after="120"/>
        <w:rPr>
          <w:szCs w:val="18"/>
        </w:rPr>
      </w:pPr>
      <w:r w:rsidRPr="000703B6">
        <w:rPr>
          <w:szCs w:val="18"/>
        </w:rPr>
        <w:t>Hold a valid CSCS card.</w:t>
      </w:r>
    </w:p>
    <w:p w14:paraId="0AEB1A57" w14:textId="5D31AE8D" w:rsidR="00B611DC" w:rsidRPr="00877B4F" w:rsidRDefault="00B611DC" w:rsidP="000703B6">
      <w:pPr>
        <w:spacing w:after="240"/>
        <w:rPr>
          <w:b/>
          <w:bCs/>
          <w:sz w:val="20"/>
          <w:szCs w:val="20"/>
        </w:rPr>
      </w:pPr>
      <w:r w:rsidRPr="00877B4F">
        <w:rPr>
          <w:b/>
          <w:bCs/>
          <w:sz w:val="20"/>
          <w:szCs w:val="20"/>
        </w:rPr>
        <w:t>Procedure</w:t>
      </w:r>
    </w:p>
    <w:p w14:paraId="6EEE0178" w14:textId="77777777" w:rsidR="000703B6" w:rsidRPr="000703B6" w:rsidRDefault="000703B6" w:rsidP="000703B6">
      <w:pPr>
        <w:rPr>
          <w:u w:val="single"/>
        </w:rPr>
      </w:pPr>
      <w:r w:rsidRPr="000703B6">
        <w:rPr>
          <w:u w:val="single"/>
        </w:rPr>
        <w:t>General Requirements - All Excavations</w:t>
      </w:r>
    </w:p>
    <w:p w14:paraId="3BBB556D" w14:textId="77777777" w:rsidR="000703B6" w:rsidRDefault="000703B6" w:rsidP="000703B6">
      <w:pPr>
        <w:pStyle w:val="BodyText"/>
        <w:spacing w:before="10"/>
        <w:rPr>
          <w:b/>
          <w:sz w:val="21"/>
        </w:rPr>
      </w:pPr>
    </w:p>
    <w:p w14:paraId="1CC901C1" w14:textId="77777777" w:rsidR="000703B6" w:rsidRPr="000703B6" w:rsidRDefault="000703B6" w:rsidP="000703B6">
      <w:pPr>
        <w:pStyle w:val="ListParagraph"/>
        <w:numPr>
          <w:ilvl w:val="0"/>
          <w:numId w:val="25"/>
        </w:numPr>
        <w:spacing w:after="120"/>
        <w:rPr>
          <w:szCs w:val="18"/>
        </w:rPr>
      </w:pPr>
      <w:r w:rsidRPr="000703B6">
        <w:rPr>
          <w:szCs w:val="18"/>
        </w:rPr>
        <w:t>All persons on site (including those who may be inspecting or visiting) shall wear the following personal protective clothing and equipment:</w:t>
      </w:r>
    </w:p>
    <w:p w14:paraId="665503B5" w14:textId="77777777" w:rsidR="000703B6" w:rsidRPr="000703B6" w:rsidRDefault="000703B6" w:rsidP="000703B6">
      <w:pPr>
        <w:pStyle w:val="ListParagraph"/>
        <w:numPr>
          <w:ilvl w:val="0"/>
          <w:numId w:val="26"/>
        </w:numPr>
        <w:spacing w:after="120"/>
        <w:rPr>
          <w:szCs w:val="18"/>
        </w:rPr>
      </w:pPr>
      <w:r w:rsidRPr="000703B6">
        <w:rPr>
          <w:szCs w:val="18"/>
        </w:rPr>
        <w:t>Safety helmet (hard hat)</w:t>
      </w:r>
    </w:p>
    <w:p w14:paraId="667C123D" w14:textId="77777777" w:rsidR="000703B6" w:rsidRPr="000703B6" w:rsidRDefault="000703B6" w:rsidP="000703B6">
      <w:pPr>
        <w:pStyle w:val="ListParagraph"/>
        <w:numPr>
          <w:ilvl w:val="0"/>
          <w:numId w:val="26"/>
        </w:numPr>
        <w:spacing w:after="120"/>
        <w:rPr>
          <w:szCs w:val="18"/>
        </w:rPr>
      </w:pPr>
      <w:r w:rsidRPr="000703B6">
        <w:rPr>
          <w:szCs w:val="18"/>
        </w:rPr>
        <w:t>Safety footwear</w:t>
      </w:r>
    </w:p>
    <w:p w14:paraId="40D4A60C" w14:textId="77777777" w:rsidR="000703B6" w:rsidRPr="000703B6" w:rsidRDefault="000703B6" w:rsidP="000703B6">
      <w:pPr>
        <w:pStyle w:val="ListParagraph"/>
        <w:numPr>
          <w:ilvl w:val="0"/>
          <w:numId w:val="26"/>
        </w:numPr>
        <w:spacing w:after="120"/>
        <w:rPr>
          <w:szCs w:val="18"/>
        </w:rPr>
      </w:pPr>
      <w:r w:rsidRPr="000703B6">
        <w:rPr>
          <w:szCs w:val="18"/>
        </w:rPr>
        <w:t>High visibility vest for those working around mobile plant or near roadways.</w:t>
      </w:r>
    </w:p>
    <w:p w14:paraId="38F2E5D0" w14:textId="2F7417C5" w:rsidR="000703B6" w:rsidRPr="000703B6" w:rsidRDefault="000703B6" w:rsidP="000703B6">
      <w:pPr>
        <w:pStyle w:val="ListParagraph"/>
        <w:numPr>
          <w:ilvl w:val="0"/>
          <w:numId w:val="25"/>
        </w:numPr>
        <w:spacing w:after="120"/>
        <w:rPr>
          <w:szCs w:val="18"/>
        </w:rPr>
      </w:pPr>
      <w:r w:rsidRPr="000703B6">
        <w:rPr>
          <w:szCs w:val="18"/>
        </w:rPr>
        <w:t xml:space="preserve">Where an excavation is assessed as a confined space </w:t>
      </w:r>
      <w:r>
        <w:rPr>
          <w:szCs w:val="18"/>
        </w:rPr>
        <w:t xml:space="preserve">INFRATEC’s </w:t>
      </w:r>
      <w:r w:rsidRPr="000703B6">
        <w:rPr>
          <w:szCs w:val="18"/>
        </w:rPr>
        <w:t>procedure, “Entry into Confined Spaces Procedure” shall be observed and applied.</w:t>
      </w:r>
    </w:p>
    <w:p w14:paraId="59673307" w14:textId="77777777" w:rsidR="000703B6" w:rsidRDefault="000703B6" w:rsidP="000703B6">
      <w:pPr>
        <w:pStyle w:val="BodyText"/>
        <w:spacing w:before="4"/>
        <w:rPr>
          <w:sz w:val="21"/>
        </w:rPr>
      </w:pPr>
    </w:p>
    <w:p w14:paraId="671D84E8" w14:textId="77777777" w:rsidR="000703B6" w:rsidRPr="000703B6" w:rsidRDefault="000703B6" w:rsidP="000703B6">
      <w:pPr>
        <w:rPr>
          <w:u w:val="single"/>
        </w:rPr>
      </w:pPr>
      <w:r w:rsidRPr="000703B6">
        <w:rPr>
          <w:u w:val="single"/>
        </w:rPr>
        <w:t>Shallow Excavations</w:t>
      </w:r>
    </w:p>
    <w:p w14:paraId="7280B1AA" w14:textId="77777777" w:rsidR="000703B6" w:rsidRDefault="000703B6" w:rsidP="000703B6">
      <w:pPr>
        <w:pStyle w:val="BodyText"/>
        <w:spacing w:before="9"/>
        <w:rPr>
          <w:b/>
          <w:sz w:val="21"/>
        </w:rPr>
      </w:pPr>
    </w:p>
    <w:p w14:paraId="4E2CAA7D" w14:textId="77777777" w:rsidR="000703B6" w:rsidRPr="000703B6" w:rsidRDefault="000703B6" w:rsidP="000703B6">
      <w:pPr>
        <w:pStyle w:val="ListParagraph"/>
        <w:numPr>
          <w:ilvl w:val="0"/>
          <w:numId w:val="27"/>
        </w:numPr>
        <w:spacing w:after="120"/>
        <w:rPr>
          <w:szCs w:val="18"/>
        </w:rPr>
      </w:pPr>
      <w:r w:rsidRPr="000703B6">
        <w:rPr>
          <w:szCs w:val="18"/>
        </w:rPr>
        <w:t>All shallow excavations must be supervised by a competent person (Site Supervisor) who has completed an accredited training course in trenching and shoring.</w:t>
      </w:r>
    </w:p>
    <w:p w14:paraId="22954E43" w14:textId="77777777" w:rsidR="000703B6" w:rsidRPr="000703B6" w:rsidRDefault="000703B6" w:rsidP="000703B6">
      <w:pPr>
        <w:pStyle w:val="ListParagraph"/>
        <w:numPr>
          <w:ilvl w:val="0"/>
          <w:numId w:val="27"/>
        </w:numPr>
        <w:spacing w:after="120"/>
        <w:rPr>
          <w:szCs w:val="18"/>
        </w:rPr>
      </w:pPr>
      <w:r w:rsidRPr="000703B6">
        <w:rPr>
          <w:szCs w:val="18"/>
        </w:rPr>
        <w:t>All shallow excavations must be assessed for risks:</w:t>
      </w:r>
    </w:p>
    <w:p w14:paraId="54E81371" w14:textId="279F644B" w:rsidR="000703B6" w:rsidRPr="000703B6" w:rsidRDefault="000703B6" w:rsidP="000703B6">
      <w:pPr>
        <w:pStyle w:val="ListParagraph"/>
        <w:numPr>
          <w:ilvl w:val="0"/>
          <w:numId w:val="27"/>
        </w:numPr>
        <w:spacing w:after="120"/>
        <w:rPr>
          <w:szCs w:val="18"/>
        </w:rPr>
      </w:pPr>
      <w:r w:rsidRPr="000703B6">
        <w:rPr>
          <w:szCs w:val="18"/>
        </w:rPr>
        <w:t xml:space="preserve">Where mobile plant is used to excavate a documented site safety assessment using </w:t>
      </w:r>
      <w:r>
        <w:rPr>
          <w:szCs w:val="18"/>
        </w:rPr>
        <w:t>INFRATEC’s</w:t>
      </w:r>
      <w:r w:rsidRPr="000703B6">
        <w:rPr>
          <w:szCs w:val="18"/>
        </w:rPr>
        <w:t xml:space="preserve"> “Site Safety Risk Assessment and Record of Excavation Inspection” shall be carried out by the Site Supervisor.</w:t>
      </w:r>
    </w:p>
    <w:p w14:paraId="663EAB3E" w14:textId="62990CD7" w:rsidR="000703B6" w:rsidRPr="000703B6" w:rsidRDefault="000703B6" w:rsidP="000703B6">
      <w:pPr>
        <w:pStyle w:val="ListParagraph"/>
        <w:numPr>
          <w:ilvl w:val="0"/>
          <w:numId w:val="27"/>
        </w:numPr>
        <w:spacing w:after="120"/>
        <w:rPr>
          <w:szCs w:val="18"/>
        </w:rPr>
      </w:pPr>
      <w:r w:rsidRPr="000703B6">
        <w:rPr>
          <w:szCs w:val="18"/>
        </w:rPr>
        <w:t xml:space="preserve">Where hand excavation occurs an informal risk assessment must be carried out. </w:t>
      </w:r>
      <w:r>
        <w:rPr>
          <w:szCs w:val="18"/>
        </w:rPr>
        <w:t>INFRATEC’s</w:t>
      </w:r>
      <w:r w:rsidRPr="000703B6">
        <w:rPr>
          <w:szCs w:val="18"/>
        </w:rPr>
        <w:t xml:space="preserve"> “Site Safety Risk Assessment and Record of Excavation Inspection” may be used as a guide.</w:t>
      </w:r>
    </w:p>
    <w:p w14:paraId="0D3C5786" w14:textId="77777777" w:rsidR="000703B6" w:rsidRDefault="000703B6" w:rsidP="000703B6">
      <w:pPr>
        <w:pStyle w:val="BodyText"/>
        <w:spacing w:before="4"/>
      </w:pPr>
    </w:p>
    <w:p w14:paraId="5EF655AB" w14:textId="77777777" w:rsidR="000703B6" w:rsidRPr="000703B6" w:rsidRDefault="000703B6" w:rsidP="000703B6">
      <w:pPr>
        <w:rPr>
          <w:u w:val="single"/>
        </w:rPr>
      </w:pPr>
      <w:r w:rsidRPr="000703B6">
        <w:rPr>
          <w:u w:val="single"/>
        </w:rPr>
        <w:t>Deep Excavations</w:t>
      </w:r>
    </w:p>
    <w:p w14:paraId="2B415E7C" w14:textId="77777777" w:rsidR="000703B6" w:rsidRDefault="000703B6" w:rsidP="000703B6">
      <w:pPr>
        <w:pStyle w:val="BodyText"/>
        <w:spacing w:before="11"/>
        <w:rPr>
          <w:b/>
          <w:sz w:val="21"/>
        </w:rPr>
      </w:pPr>
    </w:p>
    <w:p w14:paraId="34F98522" w14:textId="72BEB5B3" w:rsidR="00D12B1F" w:rsidRPr="000703B6" w:rsidRDefault="000703B6" w:rsidP="000703B6">
      <w:pPr>
        <w:pStyle w:val="ListParagraph"/>
        <w:numPr>
          <w:ilvl w:val="0"/>
          <w:numId w:val="28"/>
        </w:numPr>
        <w:spacing w:after="120"/>
        <w:rPr>
          <w:szCs w:val="18"/>
        </w:rPr>
      </w:pPr>
      <w:r>
        <w:rPr>
          <w:szCs w:val="18"/>
        </w:rPr>
        <w:t>INFRATEC do not operate in or near deep excavations.</w:t>
      </w:r>
    </w:p>
    <w:sectPr w:rsidR="00D12B1F" w:rsidRPr="000703B6" w:rsidSect="00B611DC">
      <w:headerReference w:type="default" r:id="rId9"/>
      <w:pgSz w:w="11906" w:h="16838"/>
      <w:pgMar w:top="1440" w:right="1440" w:bottom="1440" w:left="1440" w:header="35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C31BA" w14:textId="77777777" w:rsidR="00B611DC" w:rsidRDefault="00B611DC" w:rsidP="00B611DC">
      <w:r>
        <w:separator/>
      </w:r>
    </w:p>
  </w:endnote>
  <w:endnote w:type="continuationSeparator" w:id="0">
    <w:p w14:paraId="24C9EC8E" w14:textId="77777777" w:rsidR="00B611DC" w:rsidRDefault="00B611DC" w:rsidP="00B61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venir Black">
    <w:panose1 w:val="020B0803020203020204"/>
    <w:charset w:val="4D"/>
    <w:family w:val="swiss"/>
    <w:pitch w:val="variable"/>
    <w:sig w:usb0="800000AF" w:usb1="5000204A" w:usb2="00000000" w:usb3="00000000" w:csb0="0000009B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B91D7" w14:textId="77777777" w:rsidR="00B611DC" w:rsidRDefault="00B611DC" w:rsidP="00B611DC">
      <w:r>
        <w:separator/>
      </w:r>
    </w:p>
  </w:footnote>
  <w:footnote w:type="continuationSeparator" w:id="0">
    <w:p w14:paraId="4098A420" w14:textId="77777777" w:rsidR="00B611DC" w:rsidRDefault="00B611DC" w:rsidP="00B611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FCA38" w14:textId="77777777" w:rsidR="00B611DC" w:rsidRDefault="00B611DC" w:rsidP="00B611DC">
    <w:pPr>
      <w:rPr>
        <w:rFonts w:ascii="Avenir Black" w:hAnsi="Avenir Black"/>
        <w:b/>
        <w:bCs/>
        <w:noProof/>
        <w:color w:val="7C8081"/>
        <w:sz w:val="22"/>
        <w:szCs w:val="22"/>
      </w:rPr>
    </w:pPr>
    <w:r w:rsidRPr="00E061F5">
      <w:rPr>
        <w:rFonts w:ascii="Avenir Black" w:hAnsi="Avenir Black"/>
        <w:b/>
        <w:bCs/>
        <w:noProof/>
        <w:color w:val="7C8081"/>
        <w:sz w:val="22"/>
        <w:szCs w:val="22"/>
      </w:rPr>
      <w:drawing>
        <wp:anchor distT="0" distB="0" distL="114300" distR="114300" simplePos="0" relativeHeight="251659264" behindDoc="0" locked="0" layoutInCell="1" allowOverlap="1" wp14:anchorId="481D9A4A" wp14:editId="3C3D47B2">
          <wp:simplePos x="0" y="0"/>
          <wp:positionH relativeFrom="column">
            <wp:posOffset>-276</wp:posOffset>
          </wp:positionH>
          <wp:positionV relativeFrom="paragraph">
            <wp:posOffset>161925</wp:posOffset>
          </wp:positionV>
          <wp:extent cx="1304925" cy="246380"/>
          <wp:effectExtent l="0" t="0" r="3175" b="0"/>
          <wp:wrapNone/>
          <wp:docPr id="1" name="Picture 1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of a company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246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5946E9" w14:textId="6D377213" w:rsidR="00B611DC" w:rsidRPr="00B611DC" w:rsidRDefault="00B611DC" w:rsidP="00B611DC">
    <w:pPr>
      <w:pStyle w:val="Header"/>
      <w:jc w:val="right"/>
      <w:rPr>
        <w:b/>
        <w:bCs/>
        <w:sz w:val="24"/>
      </w:rPr>
    </w:pPr>
    <w:r w:rsidRPr="009A5B7C">
      <w:rPr>
        <w:rFonts w:ascii="Avenir" w:hAnsi="Avenir"/>
        <w:b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2CB1F6" wp14:editId="2AAB61AD">
              <wp:simplePos x="0" y="0"/>
              <wp:positionH relativeFrom="column">
                <wp:posOffset>0</wp:posOffset>
              </wp:positionH>
              <wp:positionV relativeFrom="page">
                <wp:posOffset>744220</wp:posOffset>
              </wp:positionV>
              <wp:extent cx="5780598" cy="0"/>
              <wp:effectExtent l="0" t="12700" r="2349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0598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4C1B706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58.6pt" to="455.15pt,58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" strokecolor="#2badd8" strokeweight="1.5pt">
              <v:stroke joinstyle="miter"/>
              <w10:wrap anchory="page"/>
            </v:line>
          </w:pict>
        </mc:Fallback>
      </mc:AlternateContent>
    </w:r>
    <w:r w:rsidR="001E1DB0">
      <w:rPr>
        <w:b/>
        <w:bCs/>
        <w:sz w:val="24"/>
      </w:rPr>
      <w:t xml:space="preserve">WORKING IN EXCAVATIONS </w:t>
    </w:r>
    <w:r w:rsidRPr="00B611DC">
      <w:rPr>
        <w:b/>
        <w:bCs/>
        <w:sz w:val="24"/>
      </w:rPr>
      <w:t>PROCEDURE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2E4E"/>
    <w:multiLevelType w:val="hybridMultilevel"/>
    <w:tmpl w:val="4CD014C6"/>
    <w:lvl w:ilvl="0" w:tplc="3FC25E96">
      <w:start w:val="1"/>
      <w:numFmt w:val="decimal"/>
      <w:lvlText w:val="%1."/>
      <w:lvlJc w:val="left"/>
      <w:pPr>
        <w:ind w:left="1259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244A97F4">
      <w:numFmt w:val="bullet"/>
      <w:lvlText w:val="o"/>
      <w:lvlJc w:val="left"/>
      <w:pPr>
        <w:ind w:left="1619" w:hanging="3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0986CD2A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3C5A9A44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A678EA6A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819CC638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 w:tplc="E7461584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E66674AE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CCCC64C6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3D537A"/>
    <w:multiLevelType w:val="hybridMultilevel"/>
    <w:tmpl w:val="F2D67B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658A7"/>
    <w:multiLevelType w:val="hybridMultilevel"/>
    <w:tmpl w:val="9F1CA1EE"/>
    <w:lvl w:ilvl="0" w:tplc="25F6AA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572B0"/>
    <w:multiLevelType w:val="hybridMultilevel"/>
    <w:tmpl w:val="BAD030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61E3A"/>
    <w:multiLevelType w:val="hybridMultilevel"/>
    <w:tmpl w:val="36163F3C"/>
    <w:lvl w:ilvl="0" w:tplc="25F6AA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B95"/>
    <w:multiLevelType w:val="hybridMultilevel"/>
    <w:tmpl w:val="BAD030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BF0DF2"/>
    <w:multiLevelType w:val="hybridMultilevel"/>
    <w:tmpl w:val="763EB362"/>
    <w:lvl w:ilvl="0" w:tplc="25F6AA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E5D36"/>
    <w:multiLevelType w:val="hybridMultilevel"/>
    <w:tmpl w:val="328EDA90"/>
    <w:lvl w:ilvl="0" w:tplc="7CD200CC">
      <w:start w:val="1"/>
      <w:numFmt w:val="decimal"/>
      <w:lvlText w:val="%1."/>
      <w:lvlJc w:val="left"/>
      <w:pPr>
        <w:ind w:left="126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3F47DAA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8222D0BC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3B464446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7C34429E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112035FC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8CECB7BE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8CFABEDE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C44C2B5A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D4B02ED"/>
    <w:multiLevelType w:val="hybridMultilevel"/>
    <w:tmpl w:val="D2464A18"/>
    <w:lvl w:ilvl="0" w:tplc="CEDE959C">
      <w:numFmt w:val="bullet"/>
      <w:lvlText w:val="o"/>
      <w:lvlJc w:val="left"/>
      <w:pPr>
        <w:ind w:left="1080" w:hanging="361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187E1DB2">
      <w:start w:val="1"/>
      <w:numFmt w:val="decimal"/>
      <w:lvlText w:val="%2."/>
      <w:lvlJc w:val="left"/>
      <w:pPr>
        <w:ind w:left="216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870DEC6"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  <w:lvl w:ilvl="3" w:tplc="EC12F48A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4" w:tplc="DA64D854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5" w:tplc="B30448CA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ar-SA"/>
      </w:rPr>
    </w:lvl>
    <w:lvl w:ilvl="6" w:tplc="F076A502">
      <w:numFmt w:val="bullet"/>
      <w:lvlText w:val="•"/>
      <w:lvlJc w:val="left"/>
      <w:pPr>
        <w:ind w:left="6748" w:hanging="360"/>
      </w:pPr>
      <w:rPr>
        <w:rFonts w:hint="default"/>
        <w:lang w:val="en-US" w:eastAsia="en-US" w:bidi="ar-SA"/>
      </w:rPr>
    </w:lvl>
    <w:lvl w:ilvl="7" w:tplc="D4EC0B2A">
      <w:numFmt w:val="bullet"/>
      <w:lvlText w:val="•"/>
      <w:lvlJc w:val="left"/>
      <w:pPr>
        <w:ind w:left="7666" w:hanging="360"/>
      </w:pPr>
      <w:rPr>
        <w:rFonts w:hint="default"/>
        <w:lang w:val="en-US" w:eastAsia="en-US" w:bidi="ar-SA"/>
      </w:rPr>
    </w:lvl>
    <w:lvl w:ilvl="8" w:tplc="87EE1F52"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325039A"/>
    <w:multiLevelType w:val="hybridMultilevel"/>
    <w:tmpl w:val="BAD030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BC4479"/>
    <w:multiLevelType w:val="hybridMultilevel"/>
    <w:tmpl w:val="F2D67B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722E9"/>
    <w:multiLevelType w:val="hybridMultilevel"/>
    <w:tmpl w:val="D7E60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67786"/>
    <w:multiLevelType w:val="hybridMultilevel"/>
    <w:tmpl w:val="BAD030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B7E3F"/>
    <w:multiLevelType w:val="hybridMultilevel"/>
    <w:tmpl w:val="0DAA7850"/>
    <w:lvl w:ilvl="0" w:tplc="FFF4D5A4">
      <w:start w:val="1"/>
      <w:numFmt w:val="decimal"/>
      <w:lvlText w:val="%1."/>
      <w:lvlJc w:val="left"/>
      <w:pPr>
        <w:ind w:left="126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B5AA25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8272E020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A6408CB4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7D4E7C6E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0518D9F6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2FDA2628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18AA9336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EADC9758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61000859"/>
    <w:multiLevelType w:val="hybridMultilevel"/>
    <w:tmpl w:val="BAD030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430A58"/>
    <w:multiLevelType w:val="hybridMultilevel"/>
    <w:tmpl w:val="F49A5A3A"/>
    <w:lvl w:ilvl="0" w:tplc="25F6AA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6A4896"/>
    <w:multiLevelType w:val="hybridMultilevel"/>
    <w:tmpl w:val="D84A1F0C"/>
    <w:lvl w:ilvl="0" w:tplc="55C82A5A">
      <w:start w:val="1"/>
      <w:numFmt w:val="decimal"/>
      <w:lvlText w:val="%1."/>
      <w:lvlJc w:val="left"/>
      <w:pPr>
        <w:ind w:left="12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3AA2D25C">
      <w:numFmt w:val="bullet"/>
      <w:lvlText w:val="o"/>
      <w:lvlJc w:val="left"/>
      <w:pPr>
        <w:ind w:left="1980" w:hanging="3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C9F69BB8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3" w:tplc="7B76F5FE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4" w:tplc="B5064D20"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5" w:tplc="5AD64E5E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6" w:tplc="F9DAE420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 w:tplc="32B223FE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36A23CC2"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7980C1C"/>
    <w:multiLevelType w:val="hybridMultilevel"/>
    <w:tmpl w:val="FCFABF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D346CF"/>
    <w:multiLevelType w:val="hybridMultilevel"/>
    <w:tmpl w:val="BAD030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76293"/>
    <w:multiLevelType w:val="hybridMultilevel"/>
    <w:tmpl w:val="DEA03030"/>
    <w:lvl w:ilvl="0" w:tplc="07E090FE">
      <w:start w:val="1"/>
      <w:numFmt w:val="decimal"/>
      <w:lvlText w:val="%1."/>
      <w:lvlJc w:val="left"/>
      <w:pPr>
        <w:ind w:left="126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76AB91E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5972DF16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EF1CC9B0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E04EC3F6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5328870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BDD29D8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936E8EFC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F81CDD72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C07101E"/>
    <w:multiLevelType w:val="hybridMultilevel"/>
    <w:tmpl w:val="241C9C0A"/>
    <w:lvl w:ilvl="0" w:tplc="B672D79E">
      <w:start w:val="1"/>
      <w:numFmt w:val="decimal"/>
      <w:lvlText w:val="%1."/>
      <w:lvlJc w:val="left"/>
      <w:pPr>
        <w:ind w:left="126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44FCF68A">
      <w:numFmt w:val="bullet"/>
      <w:lvlText w:val="o"/>
      <w:lvlJc w:val="left"/>
      <w:pPr>
        <w:ind w:left="1619" w:hanging="360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B8A65AC8"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 w:tplc="24FE862A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4" w:tplc="75246FBE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ar-SA"/>
      </w:rPr>
    </w:lvl>
    <w:lvl w:ilvl="5" w:tplc="50368C8A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 w:tplc="025038D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DE867420">
      <w:numFmt w:val="bullet"/>
      <w:lvlText w:val="•"/>
      <w:lvlJc w:val="left"/>
      <w:pPr>
        <w:ind w:left="7486" w:hanging="360"/>
      </w:pPr>
      <w:rPr>
        <w:rFonts w:hint="default"/>
        <w:lang w:val="en-US" w:eastAsia="en-US" w:bidi="ar-SA"/>
      </w:rPr>
    </w:lvl>
    <w:lvl w:ilvl="8" w:tplc="7F4E413E">
      <w:numFmt w:val="bullet"/>
      <w:lvlText w:val="•"/>
      <w:lvlJc w:val="left"/>
      <w:pPr>
        <w:ind w:left="8464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6F2F248C"/>
    <w:multiLevelType w:val="hybridMultilevel"/>
    <w:tmpl w:val="9530E6CA"/>
    <w:lvl w:ilvl="0" w:tplc="969ECD50">
      <w:start w:val="1"/>
      <w:numFmt w:val="decimal"/>
      <w:lvlText w:val="%1."/>
      <w:lvlJc w:val="left"/>
      <w:pPr>
        <w:ind w:left="1260" w:hanging="361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258E46A8">
      <w:numFmt w:val="bullet"/>
      <w:lvlText w:val="o"/>
      <w:lvlJc w:val="left"/>
      <w:pPr>
        <w:ind w:left="1619" w:hanging="361"/>
      </w:pPr>
      <w:rPr>
        <w:rFonts w:ascii="Courier New" w:eastAsia="Courier New" w:hAnsi="Courier New" w:cs="Courier New" w:hint="default"/>
        <w:b/>
        <w:bCs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2" w:tplc="0A302616">
      <w:numFmt w:val="bullet"/>
      <w:lvlText w:val="•"/>
      <w:lvlJc w:val="left"/>
      <w:pPr>
        <w:ind w:left="2597" w:hanging="361"/>
      </w:pPr>
      <w:rPr>
        <w:rFonts w:hint="default"/>
        <w:lang w:val="en-US" w:eastAsia="en-US" w:bidi="ar-SA"/>
      </w:rPr>
    </w:lvl>
    <w:lvl w:ilvl="3" w:tplc="6EECBA5A">
      <w:numFmt w:val="bullet"/>
      <w:lvlText w:val="•"/>
      <w:lvlJc w:val="left"/>
      <w:pPr>
        <w:ind w:left="3575" w:hanging="361"/>
      </w:pPr>
      <w:rPr>
        <w:rFonts w:hint="default"/>
        <w:lang w:val="en-US" w:eastAsia="en-US" w:bidi="ar-SA"/>
      </w:rPr>
    </w:lvl>
    <w:lvl w:ilvl="4" w:tplc="8774EAC4">
      <w:numFmt w:val="bullet"/>
      <w:lvlText w:val="•"/>
      <w:lvlJc w:val="left"/>
      <w:pPr>
        <w:ind w:left="4553" w:hanging="361"/>
      </w:pPr>
      <w:rPr>
        <w:rFonts w:hint="default"/>
        <w:lang w:val="en-US" w:eastAsia="en-US" w:bidi="ar-SA"/>
      </w:rPr>
    </w:lvl>
    <w:lvl w:ilvl="5" w:tplc="18B644B0">
      <w:numFmt w:val="bullet"/>
      <w:lvlText w:val="•"/>
      <w:lvlJc w:val="left"/>
      <w:pPr>
        <w:ind w:left="5531" w:hanging="361"/>
      </w:pPr>
      <w:rPr>
        <w:rFonts w:hint="default"/>
        <w:lang w:val="en-US" w:eastAsia="en-US" w:bidi="ar-SA"/>
      </w:rPr>
    </w:lvl>
    <w:lvl w:ilvl="6" w:tplc="6EFAE6B6">
      <w:numFmt w:val="bullet"/>
      <w:lvlText w:val="•"/>
      <w:lvlJc w:val="left"/>
      <w:pPr>
        <w:ind w:left="6508" w:hanging="361"/>
      </w:pPr>
      <w:rPr>
        <w:rFonts w:hint="default"/>
        <w:lang w:val="en-US" w:eastAsia="en-US" w:bidi="ar-SA"/>
      </w:rPr>
    </w:lvl>
    <w:lvl w:ilvl="7" w:tplc="8D2A2A0A">
      <w:numFmt w:val="bullet"/>
      <w:lvlText w:val="•"/>
      <w:lvlJc w:val="left"/>
      <w:pPr>
        <w:ind w:left="7486" w:hanging="361"/>
      </w:pPr>
      <w:rPr>
        <w:rFonts w:hint="default"/>
        <w:lang w:val="en-US" w:eastAsia="en-US" w:bidi="ar-SA"/>
      </w:rPr>
    </w:lvl>
    <w:lvl w:ilvl="8" w:tplc="235012C8">
      <w:numFmt w:val="bullet"/>
      <w:lvlText w:val="•"/>
      <w:lvlJc w:val="left"/>
      <w:pPr>
        <w:ind w:left="8464" w:hanging="361"/>
      </w:pPr>
      <w:rPr>
        <w:rFonts w:hint="default"/>
        <w:lang w:val="en-US" w:eastAsia="en-US" w:bidi="ar-SA"/>
      </w:rPr>
    </w:lvl>
  </w:abstractNum>
  <w:abstractNum w:abstractNumId="22" w15:restartNumberingAfterBreak="0">
    <w:nsid w:val="706D599F"/>
    <w:multiLevelType w:val="hybridMultilevel"/>
    <w:tmpl w:val="03C64046"/>
    <w:lvl w:ilvl="0" w:tplc="177C3F4A">
      <w:start w:val="1"/>
      <w:numFmt w:val="decimal"/>
      <w:lvlText w:val="%1."/>
      <w:lvlJc w:val="left"/>
      <w:pPr>
        <w:ind w:left="1260" w:hanging="360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4E23DE8">
      <w:numFmt w:val="bullet"/>
      <w:lvlText w:val="•"/>
      <w:lvlJc w:val="left"/>
      <w:pPr>
        <w:ind w:left="2176" w:hanging="360"/>
      </w:pPr>
      <w:rPr>
        <w:rFonts w:hint="default"/>
        <w:lang w:val="en-US" w:eastAsia="en-US" w:bidi="ar-SA"/>
      </w:rPr>
    </w:lvl>
    <w:lvl w:ilvl="2" w:tplc="678E15C2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3" w:tplc="F80EEEFA">
      <w:numFmt w:val="bullet"/>
      <w:lvlText w:val="•"/>
      <w:lvlJc w:val="left"/>
      <w:pPr>
        <w:ind w:left="4008" w:hanging="360"/>
      </w:pPr>
      <w:rPr>
        <w:rFonts w:hint="default"/>
        <w:lang w:val="en-US" w:eastAsia="en-US" w:bidi="ar-SA"/>
      </w:rPr>
    </w:lvl>
    <w:lvl w:ilvl="4" w:tplc="A290DB6E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  <w:lvl w:ilvl="5" w:tplc="92B0DEC2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6" w:tplc="452615AC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7" w:tplc="DDCED51A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  <w:lvl w:ilvl="8" w:tplc="E6120714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736111E8"/>
    <w:multiLevelType w:val="hybridMultilevel"/>
    <w:tmpl w:val="461ACE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E3C20"/>
    <w:multiLevelType w:val="hybridMultilevel"/>
    <w:tmpl w:val="BAD030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BB1192"/>
    <w:multiLevelType w:val="hybridMultilevel"/>
    <w:tmpl w:val="BAD030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9003B"/>
    <w:multiLevelType w:val="hybridMultilevel"/>
    <w:tmpl w:val="BF2A5ECE"/>
    <w:lvl w:ilvl="0" w:tplc="25F6AA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794539"/>
    <w:multiLevelType w:val="hybridMultilevel"/>
    <w:tmpl w:val="F2D67B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1087811">
    <w:abstractNumId w:val="6"/>
  </w:num>
  <w:num w:numId="2" w16cid:durableId="574512621">
    <w:abstractNumId w:val="2"/>
  </w:num>
  <w:num w:numId="3" w16cid:durableId="962078564">
    <w:abstractNumId w:val="15"/>
  </w:num>
  <w:num w:numId="4" w16cid:durableId="920793021">
    <w:abstractNumId w:val="4"/>
  </w:num>
  <w:num w:numId="5" w16cid:durableId="356351427">
    <w:abstractNumId w:val="23"/>
  </w:num>
  <w:num w:numId="6" w16cid:durableId="985083342">
    <w:abstractNumId w:val="26"/>
  </w:num>
  <w:num w:numId="7" w16cid:durableId="1358853227">
    <w:abstractNumId w:val="1"/>
  </w:num>
  <w:num w:numId="8" w16cid:durableId="570964681">
    <w:abstractNumId w:val="10"/>
  </w:num>
  <w:num w:numId="9" w16cid:durableId="1545605063">
    <w:abstractNumId w:val="27"/>
  </w:num>
  <w:num w:numId="10" w16cid:durableId="425153259">
    <w:abstractNumId w:val="8"/>
  </w:num>
  <w:num w:numId="11" w16cid:durableId="108279092">
    <w:abstractNumId w:val="11"/>
  </w:num>
  <w:num w:numId="12" w16cid:durableId="23556132">
    <w:abstractNumId w:val="7"/>
  </w:num>
  <w:num w:numId="13" w16cid:durableId="1668702536">
    <w:abstractNumId w:val="19"/>
  </w:num>
  <w:num w:numId="14" w16cid:durableId="1070929376">
    <w:abstractNumId w:val="22"/>
  </w:num>
  <w:num w:numId="15" w16cid:durableId="1797479630">
    <w:abstractNumId w:val="5"/>
  </w:num>
  <w:num w:numId="16" w16cid:durableId="823088284">
    <w:abstractNumId w:val="25"/>
  </w:num>
  <w:num w:numId="17" w16cid:durableId="1707489544">
    <w:abstractNumId w:val="9"/>
  </w:num>
  <w:num w:numId="18" w16cid:durableId="924150875">
    <w:abstractNumId w:val="13"/>
  </w:num>
  <w:num w:numId="19" w16cid:durableId="2130708295">
    <w:abstractNumId w:val="16"/>
  </w:num>
  <w:num w:numId="20" w16cid:durableId="1545099939">
    <w:abstractNumId w:val="14"/>
  </w:num>
  <w:num w:numId="21" w16cid:durableId="867333996">
    <w:abstractNumId w:val="12"/>
  </w:num>
  <w:num w:numId="22" w16cid:durableId="958729288">
    <w:abstractNumId w:val="21"/>
  </w:num>
  <w:num w:numId="23" w16cid:durableId="1647051926">
    <w:abstractNumId w:val="20"/>
  </w:num>
  <w:num w:numId="24" w16cid:durableId="201332872">
    <w:abstractNumId w:val="0"/>
  </w:num>
  <w:num w:numId="25" w16cid:durableId="1187863918">
    <w:abstractNumId w:val="24"/>
  </w:num>
  <w:num w:numId="26" w16cid:durableId="1040593165">
    <w:abstractNumId w:val="17"/>
  </w:num>
  <w:num w:numId="27" w16cid:durableId="812868838">
    <w:abstractNumId w:val="18"/>
  </w:num>
  <w:num w:numId="28" w16cid:durableId="2522780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DC"/>
    <w:rsid w:val="0005259F"/>
    <w:rsid w:val="000703B6"/>
    <w:rsid w:val="001E1DB0"/>
    <w:rsid w:val="003142ED"/>
    <w:rsid w:val="003523AA"/>
    <w:rsid w:val="004F6AFA"/>
    <w:rsid w:val="0056680B"/>
    <w:rsid w:val="00763ED5"/>
    <w:rsid w:val="00877B4F"/>
    <w:rsid w:val="00A345A0"/>
    <w:rsid w:val="00B611DC"/>
    <w:rsid w:val="00D12B1F"/>
    <w:rsid w:val="00D27A95"/>
    <w:rsid w:val="00D554A3"/>
    <w:rsid w:val="00EF1EF9"/>
    <w:rsid w:val="00F701A4"/>
    <w:rsid w:val="00F7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CC835"/>
  <w15:chartTrackingRefBased/>
  <w15:docId w15:val="{6D27B9A9-D04D-B343-859A-7E2E4818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kern w:val="2"/>
        <w:sz w:val="18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DB0"/>
    <w:pPr>
      <w:widowControl w:val="0"/>
      <w:autoSpaceDE w:val="0"/>
      <w:autoSpaceDN w:val="0"/>
      <w:ind w:left="540"/>
      <w:outlineLvl w:val="0"/>
    </w:pPr>
    <w:rPr>
      <w:rFonts w:eastAsia="Arial" w:cs="Arial"/>
      <w:b/>
      <w:bCs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611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1D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1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1DC"/>
  </w:style>
  <w:style w:type="paragraph" w:styleId="Footer">
    <w:name w:val="footer"/>
    <w:basedOn w:val="Normal"/>
    <w:link w:val="FooterChar"/>
    <w:uiPriority w:val="99"/>
    <w:unhideWhenUsed/>
    <w:rsid w:val="00B611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1DC"/>
  </w:style>
  <w:style w:type="table" w:styleId="TableGrid">
    <w:name w:val="Table Grid"/>
    <w:basedOn w:val="TableNormal"/>
    <w:uiPriority w:val="39"/>
    <w:rsid w:val="00D12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12B1F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12B1F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1E1DB0"/>
    <w:pPr>
      <w:widowControl w:val="0"/>
      <w:autoSpaceDE w:val="0"/>
      <w:autoSpaceDN w:val="0"/>
    </w:pPr>
    <w:rPr>
      <w:rFonts w:eastAsia="Arial" w:cs="Arial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E1DB0"/>
    <w:rPr>
      <w:rFonts w:eastAsia="Arial" w:cs="Arial"/>
      <w:kern w:val="0"/>
      <w:sz w:val="22"/>
      <w:szCs w:val="2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E1DB0"/>
    <w:rPr>
      <w:rFonts w:eastAsia="Arial" w:cs="Arial"/>
      <w:b/>
      <w:bCs/>
      <w:kern w:val="0"/>
      <w:sz w:val="22"/>
      <w:szCs w:val="22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E1DB0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7" ma:contentTypeDescription="Create a new document." ma:contentTypeScope="" ma:versionID="3edaffef8dccafca110ea0c0fddfc186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56e82f34ca82e2d16012771aeaeb492a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5C59335-000E-419B-B367-AC69F6ADF4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D429B34-9428-4CF7-A22E-D4BC7A1C9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0719f-a471-49ab-8b67-30e6520d633d"/>
    <ds:schemaRef ds:uri="078ea3b5-7cd4-402a-949f-a81edf38a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dc:description/>
  <cp:lastModifiedBy>Lee Payne</cp:lastModifiedBy>
  <cp:revision>3</cp:revision>
  <dcterms:created xsi:type="dcterms:W3CDTF">2023-08-01T10:05:00Z</dcterms:created>
  <dcterms:modified xsi:type="dcterms:W3CDTF">2023-08-01T10:22:00Z</dcterms:modified>
</cp:coreProperties>
</file>