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9B014E">
      <w:pPr>
        <w:pBdr/>
        <w:spacing w:line="240" w:lineRule="auto"/>
        <w:ind w:right="0" w:firstLine="0" w:left="432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5190" cy="682751"/>
                <wp:effectExtent l="0" t="0" r="0" b="0"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7468140" name="Image 1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25185" cy="682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.23pt;height:53.7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45E661CB">
      <w:pPr>
        <w:pStyle w:val="725"/>
        <w:pBdr/>
        <w:spacing/>
        <w:ind w:right="168" w:firstLine="0"/>
        <w:jc w:val="left"/>
        <w:rPr/>
      </w:pPr>
      <w:r>
        <w:rPr>
          <w:spacing w:val="-2"/>
          <w:highlight w:val="none"/>
        </w:rPr>
      </w:r>
      <w:r/>
      <w:r/>
    </w:p>
    <w:p w14:paraId="1C9ABA0E">
      <w:pPr>
        <w:pStyle w:val="725"/>
        <w:pBdr/>
        <w:spacing/>
        <w:ind w:right="168" w:firstLine="0"/>
        <w:jc w:val="left"/>
        <w:rPr>
          <w:spacing w:val="-2"/>
          <w:highlight w:val="none"/>
        </w:rPr>
      </w:pPr>
      <w:r>
        <w:t xml:space="preserve">МИНИСТЕРСТВО</w:t>
      </w:r>
      <w:r>
        <w:rPr>
          <w:spacing w:val="-3"/>
        </w:rPr>
        <w:t xml:space="preserve"> </w:t>
      </w:r>
      <w:r>
        <w:t xml:space="preserve">НАУКИ</w:t>
      </w:r>
      <w:r>
        <w:rPr>
          <w:spacing w:val="-2"/>
        </w:rPr>
        <w:t xml:space="preserve"> </w:t>
      </w:r>
      <w:r>
        <w:t xml:space="preserve">И</w:t>
      </w:r>
      <w:r>
        <w:rPr>
          <w:spacing w:val="-1"/>
        </w:rPr>
        <w:t xml:space="preserve"> </w:t>
      </w:r>
      <w:r>
        <w:t xml:space="preserve">ВЫСШЕГО</w:t>
      </w:r>
      <w:r>
        <w:rPr>
          <w:spacing w:val="-3"/>
        </w:rPr>
        <w:t xml:space="preserve"> </w:t>
      </w:r>
      <w:r>
        <w:t xml:space="preserve">ОБРАЗОВАНИЯ</w:t>
      </w:r>
      <w:r>
        <w:rPr>
          <w:spacing w:val="-2"/>
        </w:rPr>
        <w:t xml:space="preserve"> </w:t>
      </w:r>
      <w:r>
        <w:t xml:space="preserve">РОССИЙСКОЙ</w:t>
      </w:r>
      <w:r>
        <w:rPr>
          <w:spacing w:val="-2"/>
        </w:rPr>
        <w:t xml:space="preserve"> ФЕДЕРАЦИИ</w: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 w14:paraId="1A9F7487">
      <w:pPr>
        <w:pBdr/>
        <w:spacing w:before="182" w:line="235" w:lineRule="auto"/>
        <w:ind w:right="1460" w:firstLine="0" w:left="1462"/>
        <w:jc w:val="center"/>
        <w:rPr>
          <w:sz w:val="20"/>
        </w:rPr>
      </w:pPr>
      <w:r>
        <w:rPr>
          <w:sz w:val="20"/>
        </w:rPr>
        <w:t xml:space="preserve">ФЕДЕРАЛЬНОЕ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ГОСУДАРСТВЕННОЕ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БЮДЖЕТНОЕ ОБРАЗОВАТЕЛЬНОЕ УЧРЕЖДЕНИЕ</w:t>
      </w:r>
      <w:r>
        <w:rPr>
          <w:sz w:val="20"/>
        </w:rPr>
      </w:r>
      <w:r>
        <w:rPr>
          <w:sz w:val="20"/>
        </w:rPr>
      </w:r>
    </w:p>
    <w:p w14:paraId="3B36957A">
      <w:pPr>
        <w:pBdr/>
        <w:spacing w:before="2"/>
        <w:ind w:right="1463" w:firstLine="0" w:left="1462"/>
        <w:jc w:val="center"/>
        <w:rPr>
          <w:sz w:val="20"/>
        </w:rPr>
      </w:pPr>
      <w:r>
        <w:rPr>
          <w:sz w:val="20"/>
        </w:rPr>
        <w:t xml:space="preserve">ВЫСШЕГО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ОБРАЗОВАНИЯ</w:t>
      </w:r>
      <w:r>
        <w:rPr>
          <w:sz w:val="20"/>
        </w:rPr>
      </w:r>
      <w:r>
        <w:rPr>
          <w:sz w:val="20"/>
        </w:rPr>
      </w:r>
    </w:p>
    <w:p w14:paraId="01473141">
      <w:pPr>
        <w:pBdr/>
        <w:spacing w:before="0"/>
        <w:ind w:right="1460" w:firstLine="0" w:left="1463"/>
        <w:jc w:val="center"/>
        <w:rPr>
          <w:sz w:val="20"/>
        </w:rPr>
      </w:pPr>
      <w:r>
        <w:rPr>
          <w:sz w:val="20"/>
        </w:rPr>
        <w:t xml:space="preserve">«ДОНСКОЙ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ГОСУДАРСТВЕННЫЙ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ТЕХНИЧЕСКИЙ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УНИВЕРСИТЕТ» </w:t>
      </w:r>
      <w:r>
        <w:rPr>
          <w:spacing w:val="-2"/>
          <w:sz w:val="20"/>
        </w:rPr>
        <w:t xml:space="preserve">(ДГТУ)</w:t>
      </w:r>
      <w:r>
        <w:rPr>
          <w:sz w:val="20"/>
        </w:rPr>
      </w:r>
      <w:r>
        <w:rPr>
          <w:sz w:val="20"/>
        </w:rPr>
      </w:r>
    </w:p>
    <w:p w14:paraId="0B463ABF">
      <w:pPr>
        <w:pBdr/>
        <w:spacing w:before="0"/>
        <w:ind w:right="1460" w:firstLine="0" w:left="1463"/>
        <w:jc w:val="center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/>
      </w:pPr>
      <w:r>
        <w:br/>
      </w:r>
      <w:r/>
    </w:p>
    <w:p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sz w:val="32"/>
          <w:szCs w:val="32"/>
        </w:rPr>
        <w:t xml:space="preserve">ЛАБОРАТОРНАЯ РАБОТА № 7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 w14:paraId="2FB90575"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3BA21E32">
      <w:pPr>
        <w:pBdr/>
        <w:spacing/>
        <w:ind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Вариант 23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b w:val="0"/>
          <w:bCs w:val="0"/>
        </w:rPr>
      </w:pPr>
      <w:r>
        <w:rPr>
          <w:b w:val="0"/>
          <w:bCs w:val="0"/>
        </w:rPr>
        <w:t xml:space="preserve">Построение автокодировщика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jc w:val="center"/>
        <w:rPr>
          <w:b w:val="0"/>
          <w:bCs w:val="0"/>
        </w:rPr>
      </w:pPr>
      <w:r>
        <w:rPr>
          <w:b w:val="0"/>
          <w:bCs w:val="0"/>
        </w:rPr>
        <w:t xml:space="preserve">Искусственный интеллект в креативных технологиях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b/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/>
      </w:pPr>
      <w:r>
        <w:br/>
        <w:br/>
      </w:r>
      <w:r/>
    </w:p>
    <w:p>
      <w:pPr>
        <w:pBdr/>
        <w:spacing/>
        <w:ind/>
        <w:jc w:val="right"/>
        <w:rPr/>
      </w:pPr>
      <w:r>
        <w:t xml:space="preserve">Выполнил: Король Алексей Юрьевич</w:t>
      </w:r>
      <w:r/>
    </w:p>
    <w:p>
      <w:pPr>
        <w:pBdr/>
        <w:spacing/>
        <w:ind/>
        <w:jc w:val="right"/>
        <w:rPr/>
      </w:pPr>
      <w:r>
        <w:t xml:space="preserve">Группа: Т26ИИКТ-МИМО11</w:t>
      </w:r>
      <w:r/>
    </w:p>
    <w:p>
      <w:pPr>
        <w:pBdr/>
        <w:spacing/>
        <w:ind/>
        <w:jc w:val="right"/>
        <w:rPr/>
      </w:pPr>
      <w:r>
        <w:t xml:space="preserve">Дата выполнения: 15.10.2026</w:t>
      </w:r>
      <w:r/>
    </w:p>
    <w:p w14:paraId="5A8F20C4">
      <w:pPr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/>
    </w:p>
    <w:p w14:paraId="487D10EF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AF23C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87716E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BF66817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E8915B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C39B9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4ED2B14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D211035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B68C48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FFAD67B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br/>
        <w:t xml:space="preserve">2026</w:t>
      </w: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1. Цель и постановка задачи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Цель работы — обучить автокодировщик на синтетических сценах, оценить реконструкцию на отложенной выборке и выяснить, помогает </w:t>
      </w:r>
      <w:r>
        <w:rPr>
          <w:rFonts w:ascii="Times New Roman" w:hAnsi="Times New Roman" w:eastAsia="Times New Roman" w:cs="Times New Roman"/>
        </w:rPr>
        <w:t xml:space="preserve">ли добавление шума при обучении. Вариант 23 использует набор disc_color: цветной диск на градиентном фоне. В режиме A сеть обучается на чистых изображениях, в режиме B на вход добавляется гауссовский шум с σ=0,2. Целевое изображение в обоих случаях чистое.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Оба режима проверяются на одинаковых зашумлённых входах относите</w:t>
      </w:r>
      <w:r>
        <w:rPr>
          <w:rFonts w:ascii="Times New Roman" w:hAnsi="Times New Roman" w:eastAsia="Times New Roman" w:cs="Times New Roman"/>
        </w:rPr>
        <w:t xml:space="preserve">льно чистого оригинала. В основной серии меняется только параметр шума при обучении. Выполнены пять пар запусков с seed 101–105. Кроме PSNR рассматриваются разрыв train−test, число параметров и время обучения. Отдельно проверяется сохранение оттенка диска.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2. Гипотеза и критерии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Гипотеза записана 15.10.2026 до собственного запуска. При подготовке изучены методические указания и результаты преподавателя. Предпола</w:t>
      </w:r>
      <w:r>
        <w:rPr>
          <w:rFonts w:ascii="Times New Roman" w:hAnsi="Times New Roman" w:eastAsia="Times New Roman" w:cs="Times New Roman"/>
        </w:rPr>
        <w:t xml:space="preserve">галось, что обучение с шумом повысит тестовый PSNR более чем на 1 дБ, сохранит небольшой разрыв train−test и увеличит время обучения. Ожидалось более устойчивое восстановление положения, радиуса и цвета диска с возможным размытием границ и сдвигом оттенка.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38"/>
        <w:gridCol w:w="2268"/>
        <w:gridCol w:w="4932"/>
      </w:tblGrid>
      <w:tr>
        <w:trPr>
          <w:cantSplit/>
          <w:tblHeader/>
        </w:trPr>
        <w:tc>
          <w:tcPr>
            <w:tcBorders/>
            <w:tcW w:w="243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Метрика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Допуск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93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Направление улучшения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243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PSNR на тесте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±1 дБ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93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Рост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243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Разрыв train−test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±0,1 дБ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93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Уменьшение положительного разрыва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243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Время обучения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±20% среднего 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93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Уменьшение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243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Параметры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Совпадение архитектуры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93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Описательная проверка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Допуски приняты по образцу зад</w:t>
      </w:r>
      <w:r>
        <w:rPr>
          <w:rFonts w:ascii="Times New Roman" w:hAnsi="Times New Roman" w:eastAsia="Times New Roman" w:cs="Times New Roman"/>
        </w:rPr>
        <w:t xml:space="preserve">ания. Один дБ выделяет заметное изменение ошибки реконструкции; 0,1 дБ отделяет небольшие колебания разрыва; 20% для времени учитывает изменчивость нагрузки GPU. Изменение на границе допуска считается нейтральным. Дополнительно проверены удвоенные допуски.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Для каждой метрики рассчитаны среднее A, выборочное стандартное отклонение s по пяти seed A, с</w:t>
      </w:r>
      <w:r>
        <w:rPr>
          <w:rFonts w:ascii="Times New Roman" w:hAnsi="Times New Roman" w:eastAsia="Times New Roman" w:cs="Times New Roman"/>
        </w:rPr>
        <w:t xml:space="preserve">реднее B, Δ=B−A и |Δ|/s. Критерий |Δ|&gt;2s сопоставляет эффект с разбросом seed по методике работы. Это учебный критерий, без расчёта p-value. При неизменном числе параметров s=0 и Δ=0, поэтому отношение 0/0 не определено и статистически не интерпретируется.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3. Данные, архитектура и среда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Изображения размером 3×32×32 создаются функцией render из lab07_lib.py. Цветной диск задаётся </w:t>
      </w:r>
      <w:r>
        <w:rPr>
          <w:rFonts w:ascii="Times New Roman" w:hAnsi="Times New Roman" w:eastAsia="Times New Roman" w:cs="Times New Roman"/>
        </w:rPr>
        <w:t xml:space="preserve">четырьмя факторами: координатами центра x и y, радиусом и оттенком. Оттенок формируется тремя сдвинутыми косинусоидами и является периодическим параметром. RGB находится в диапазоне 0–1. При seed данных 7 созданы 4096 обучающих и 1024 тестовых изображения.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Используется ConvAE с латентным вектором d=8. Кодировщик содержит три свёртки с каналами 3→16→32→64 и уменьшает размер 32→16→8→4. После развёртки 1024 признака преоб</w:t>
      </w:r>
      <w:r>
        <w:rPr>
          <w:rFonts w:ascii="Times New Roman" w:hAnsi="Times New Roman" w:eastAsia="Times New Roman" w:cs="Times New Roman"/>
        </w:rPr>
        <w:t xml:space="preserve">разуются в восемь координат. Декодировщик возвращает 1024 признака, затем три транспонированные свёртки восстанавливают RGB-изображение. ReLU используется внутри сети, Sigmoid ограничивает выход диапазоном 0–1. В обоих режимах 101 035 обучаемых параметров.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061"/>
        <w:gridCol w:w="6576"/>
      </w:tblGrid>
      <w:tr>
        <w:trPr>
          <w:cantSplit/>
          <w:tblHeader/>
        </w:trPr>
        <w:tc>
          <w:tcPr>
            <w:tcBorders/>
            <w:tcW w:w="30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Условие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57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0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Дата / среда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57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15.10.2026 / Google Colab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0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GPU / CUDA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57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Tesla T4 / 13.0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0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Python / PyTorch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57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3.13.15 / 2.11.0+cu130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0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NumPy / Pillow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57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2.1.3 / 11.3.0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0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Тип вычислений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57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float32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0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Оптимизатор / потери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57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Adam, lr=0.002 / MSE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0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Пакет / эпохи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57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128 / 20; 640 обновлений весов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0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Seed обучения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57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101, 102, 103, 104, 105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0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Шум обучения A / 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57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 / 0,2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0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Шум оценки / seed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57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0,2 / 1234 в обоих режимах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Использованы библиотека и демонстрационный код из материалов преподавателя. Внешние датасеты и предо</w:t>
      </w:r>
      <w:r>
        <w:rPr>
          <w:rFonts w:ascii="Times New Roman" w:hAnsi="Times New Roman" w:eastAsia="Times New Roman" w:cs="Times New Roman"/>
        </w:rPr>
        <w:t xml:space="preserve">бученные веса не загружались. Сцены синтетические, персональных данных нет. Отдельная лицензия учебной библиотеки в переданном комплекте не указана; её происхождение отмечено в репозитории. Версии компонентов и исходный код сохранены вместе с результатами.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Детерминированные алгоритмы PyTorch, cudnn_benchmark, cudnn_deterministic и TF32 выключены. Обучение на GPU может давать немного разные результаты при повторении. Полная среда записана в environment.json и requirements-freeze.txt.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4. Ход работы и расчёт метрик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Сначала выполнен демонстрационный вариант 1, затем вариант 23. В каждой серии проведён прогрев, по</w:t>
      </w:r>
      <w:r>
        <w:rPr>
          <w:rFonts w:ascii="Times New Roman" w:hAnsi="Times New Roman" w:eastAsia="Times New Roman" w:cs="Times New Roman"/>
        </w:rPr>
        <w:t xml:space="preserve">сле которого для каждого seed обучены режимы A и B. Скрипт сохраняет реконструкции, использованные функцией преподавателя при оценке. Контрольные суммы фактических входов совпали во всех запусках основной серии. Цель при обучении с шумом оставалась чистой.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  <w:t xml:space="preserve">a_cfg, b_cfg = L.settings(L.FACTORS[4])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  <w:t xml:space="preserve">result = L.variant_summary(23)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PSNR рассчитывается как 10log₁₀(1/MSE) отдельно для каждого изображени</w:t>
      </w:r>
      <w:r>
        <w:rPr>
          <w:rFonts w:ascii="Times New Roman" w:hAnsi="Times New Roman" w:eastAsia="Times New Roman" w:cs="Times New Roman"/>
        </w:rPr>
        <w:t xml:space="preserve">я, затем усредняется по 1024 тестовым сценам. Разрыв train−test равен PSNR первых 1024 обучающих сцен минус тестовый PSNR. Время функции run включает создание модели и обучение с завершающей синхронизацией CUDA; подготовка данных и оценка в него не входят.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Эталон «средняя картинка» получ</w:t>
      </w:r>
      <w:r>
        <w:rPr>
          <w:rFonts w:ascii="Times New Roman" w:hAnsi="Times New Roman" w:eastAsia="Times New Roman" w:cs="Times New Roman"/>
        </w:rPr>
        <w:t xml:space="preserve">ен усреднением только обучающих изображений. Он одинаков для всех входов. Для диагностики ёмкости отдельно проверены d=1,2,3,4,8 по seed 101–103 при чистом обучении и чистой оценке. Всего выполнены 52 обучения, включая две серии, две диагностики и прогрев.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5. Измерения по пяти seed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50"/>
        <w:gridCol w:w="1020"/>
        <w:gridCol w:w="2438"/>
        <w:gridCol w:w="2665"/>
        <w:gridCol w:w="2665"/>
      </w:tblGrid>
      <w:tr>
        <w:trPr>
          <w:cantSplit/>
          <w:tblHeader/>
        </w:trPr>
        <w:tc>
          <w:tcPr>
            <w:tcBorders/>
            <w:tcW w:w="8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Seed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02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Режим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43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PSNR, дБ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6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Train−test, дБ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6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Время, 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8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02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43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17,6153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6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-0,0079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6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1,7658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8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02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43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21,7242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6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0,0238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6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3,5187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8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02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43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16,1728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6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-0,0164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6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1,8267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8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02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43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21,3308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6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0,0396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6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3,5170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8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02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43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19,7298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6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0,0496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6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1,7763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8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02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43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20,3117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6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0,1112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6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3,4827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8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02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43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17,2854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6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0,0399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6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1,8063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8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02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43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19,4051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6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0,0661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6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3,5779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8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02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43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15,2403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6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-0,0731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6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1,7858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8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02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43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20,3045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6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0,0251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66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3,5194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При каждом из пяти seed режим B дал более высокий PSNR. Величина выигрыша зависит от инициализации: от 0,582 дБ при seed 103 до 5,158 дБ при seed 102. Поэтому основной вывод опирается на средние по серии.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6. Итоги и сравнение с эталоном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87"/>
        <w:gridCol w:w="1361"/>
        <w:gridCol w:w="1247"/>
        <w:gridCol w:w="1361"/>
        <w:gridCol w:w="1417"/>
        <w:gridCol w:w="1531"/>
        <w:gridCol w:w="1134"/>
      </w:tblGrid>
      <w:tr>
        <w:trPr>
          <w:cantSplit/>
          <w:tblHeader/>
        </w:trPr>
        <w:tc>
          <w:tcPr>
            <w:tcBorders/>
            <w:tcW w:w="158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Метрика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24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3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|Δ|/s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3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2s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58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PSNR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17,2087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24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1,6937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20,6153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3,4066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3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2,011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3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58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Train−test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-0,0016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24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0,0493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0,0531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0,0547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3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1,111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3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58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Параметры, тыс.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101,0350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24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0,0000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101,0350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0,0000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3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3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—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58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Время, 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1,7922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24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0,0244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3,5231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1,7310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3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70,964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3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02"/>
        <w:gridCol w:w="2268"/>
        <w:gridCol w:w="3969"/>
      </w:tblGrid>
      <w:tr>
        <w:trPr>
          <w:cantSplit/>
          <w:tblHeader/>
        </w:trPr>
        <w:tc>
          <w:tcPr>
            <w:tcBorders/>
            <w:tcW w:w="340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Результат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PSNR, дБ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969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Выигрыш к средней картинке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40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Зашумлённый вход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15,0451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969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−3,0752 дБ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40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Средняя картинка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18,1203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969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40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Режим A, среднее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17,2087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969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−0,9116 дБ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40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Режим B, среднее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20,6153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969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+2,4950 дБ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Режим A в среднем хуже тривиального эталона на 0,912 дБ. Это показывает, почему значение PSNR нельзя считать хорошим только из-за его абсолютной величины. Режим B превышает эталон на 2,495 дБ и сам зашумлённый вход на 5,570 дБ.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Прирост B−A </w:t>
      </w:r>
      <w:r>
        <w:rPr>
          <w:rFonts w:ascii="Times New Roman" w:hAnsi="Times New Roman" w:eastAsia="Times New Roman" w:cs="Times New Roman"/>
        </w:rPr>
        <w:t xml:space="preserve">равен 3,4066 дБ и превышает допуск 1 дБ. Критерий 2s выполнен, но |Δ|/s=2,011 находится почти на границе 2. Поэтому этот признак нельзя считать устойчивым без дополнительных независимых запусков. Практический выигрыш по выбранному допуску выражен заметнее.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Разрыв изменился с −0,</w:t>
      </w:r>
      <w:r>
        <w:rPr>
          <w:rFonts w:ascii="Times New Roman" w:hAnsi="Times New Roman" w:eastAsia="Times New Roman" w:cs="Times New Roman"/>
        </w:rPr>
        <w:t xml:space="preserve">0016 до 0,0531 дБ. Δ=0,0547 дБ укладывается в ±0,1 дБ и не превышает 2s. Малое отрицательное значение A возможно из-за отличий конечных выборок; процентное изменение относительно почти нулевого среднего здесь неинформативно. Число параметров не изменилось.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Среднее время выросло с 1,7922 до 3,5231 с, то есть на 96,58%. Это ухудшение по допуску ±20% и заметный эффект по критерию 2s. В библиотеке шум создаётся на CPU для каждого пакета и переносится на GPU, что добавляет работу во время обучения.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При удвоении допусков все осно</w:t>
      </w:r>
      <w:r>
        <w:rPr>
          <w:rFonts w:ascii="Times New Roman" w:hAnsi="Times New Roman" w:eastAsia="Times New Roman" w:cs="Times New Roman"/>
        </w:rPr>
        <w:t xml:space="preserve">вные классификации сохраняются: PSNR улучшается, разрыв остаётся нейтральным, время ухудшается. В основной серии расхождения между критерием 2s и выходом за практический допуск нет. В демонстрационном варианте такое расхождение есть для разрыва train−test.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7. Визуальный анализ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000" cy="2725312"/>
                <wp:effectExtent l="0" t="0" r="0" b="0"/>
                <wp:docPr id="2" name="Picture 14261242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omparison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20000" cy="27253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89pt;height:214.5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Рисунок 1 — первые восемь тестовых сцен. Сверху оригинал, затем A и B; seed обучения 101.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режиме </w:t>
      </w:r>
      <w:r>
        <w:rPr>
          <w:rFonts w:ascii="Times New Roman" w:hAnsi="Times New Roman" w:eastAsia="Times New Roman" w:cs="Times New Roman"/>
        </w:rPr>
        <w:t xml:space="preserve">A диск сильно размыт. Помимо основного пятна заметны ложные цветные области, фон восстановлен неравномерно. В ряде примеров положение и размер объекта читаются плохо. Это согласуется с низким PSNR при подаче шума на сеть, обученную только на чистых входах.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Режим B даёт более ровный фон и лучше выделяет диск в ожидаемой области. Однако края остаются размытыми. Оттенок восста</w:t>
      </w:r>
      <w:r>
        <w:rPr>
          <w:rFonts w:ascii="Times New Roman" w:hAnsi="Times New Roman" w:eastAsia="Times New Roman" w:cs="Times New Roman"/>
        </w:rPr>
        <w:t xml:space="preserve">навливается неточно: пурпурные диски в первых двух примерах стали оранжеватыми, салатовый диск в третьем тоже приобрёл оранжевый оттенок. Зелёные и синий диски в правой части листа смещены к голубому. Размеры отдельных дисков также отличаются от оригинала.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Таким образом, улучшение реконструкции по PSNR не означает сохранения исходного цвета. Для вар</w:t>
      </w:r>
      <w:r>
        <w:rPr>
          <w:rFonts w:ascii="Times New Roman" w:hAnsi="Times New Roman" w:eastAsia="Times New Roman" w:cs="Times New Roman"/>
        </w:rPr>
        <w:t xml:space="preserve">ианта 23 требование отдельно оценить оттенок существенно: шумоподавление помогло очистить фон и локализовать объект, но цветовой сдвиг остался. Эти наблюдения относятся к показанным восьми сценам при seed 101; общий PSNR рассчитан по всей тестовой выборке.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Изображения в листе уве</w:t>
      </w:r>
      <w:r>
        <w:rPr>
          <w:rFonts w:ascii="Times New Roman" w:hAnsi="Times New Roman" w:eastAsia="Times New Roman" w:cs="Times New Roman"/>
        </w:rPr>
        <w:t xml:space="preserve">личены без сглаживания для просмотра. Численные метрики рассчитаны по исходным float32-массивам 32×32. Дополнительный лист comparison_with_input.png показывает общий зашумлённый вход. Реконструкции и веса моделей seed 101 сохранены для дальнейшей проверки.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8. Диагностика латентного вектора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3402"/>
      </w:tblGrid>
      <w:tr>
        <w:trPr>
          <w:cantSplit/>
          <w:tblHeader/>
        </w:trPr>
        <w:tc>
          <w:tcPr>
            <w:tcBorders/>
            <w:tcW w:w="113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83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Средний PSNR, дБ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s, дБ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40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Выигрыш к эталону, дБ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13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83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18,786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0,053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40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0,666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13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83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19,214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40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1,094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13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83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19,991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1,101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40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1,871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13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83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20,715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1,139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40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2,594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13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83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21,274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0,621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40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3,153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Диагностика проведена на чисты</w:t>
      </w:r>
      <w:r>
        <w:rPr>
          <w:rFonts w:ascii="Times New Roman" w:hAnsi="Times New Roman" w:eastAsia="Times New Roman" w:cs="Times New Roman"/>
        </w:rPr>
        <w:t xml:space="preserve">х данных по трём seed для каждого d. С увеличением d от 1 до 8 средний PSNR вырос с 18,786 до 21,274 дБ. Очень узкий вектор даёт небольшой выигрыш относительно средней картинки. Рост качества согласуется с необходимостью сохранять положение, радиус и цвет.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Разность между d=4 и d=8 составляет 0,559 дБ при разбросе 1,139 и 0,621 дБ соответственно.</w:t>
      </w:r>
      <w:r>
        <w:rPr>
          <w:rFonts w:ascii="Times New Roman" w:hAnsi="Times New Roman" w:eastAsia="Times New Roman" w:cs="Times New Roman"/>
        </w:rPr>
        <w:t xml:space="preserve"> По трём seed нельзя уверенно установить минимально достаточную размерность или универсальное преимущество d=8. Число факторов сцены помогает объяснить ёмкость представления, однако периодичность оттенка и результат обучения также влияют на восстановление.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Эти значения не сопоставляются напрямую с основной шумовой серией: в диагностике и обучающие, и тестовые входы чистые. Подмена условий оценки дала бы неверный вывод о пользе шумоподавления.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9. Демонстрационный вариант и диагностика ошибки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14"/>
        <w:gridCol w:w="1956"/>
        <w:gridCol w:w="1956"/>
        <w:gridCol w:w="1956"/>
        <w:gridCol w:w="1956"/>
      </w:tblGrid>
      <w:tr>
        <w:trPr>
          <w:cantSplit/>
          <w:tblHeader/>
        </w:trPr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Метрика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5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A в задании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5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A в запуске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5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B в задании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5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B в запуске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PSNR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5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26,000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5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26,129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5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23,200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5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23,188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Train−test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5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0,040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5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0,042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5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0,101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5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0,099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Параметры, тыс.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5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101,000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5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101,035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5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88,700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5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88,741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Время, 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5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2,270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5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1,860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5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2,100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5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1,827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Вариант 1 сравнивает d=8 и d=2 для обычног</w:t>
      </w:r>
      <w:r>
        <w:rPr>
          <w:rFonts w:ascii="Times New Roman" w:hAnsi="Times New Roman" w:eastAsia="Times New Roman" w:cs="Times New Roman"/>
        </w:rPr>
        <w:t xml:space="preserve">о диска. Собственный запуск воспроизвёл снижение PSNR примерно на 2,94 дБ. Числа близки к таблице задания, но не совпадают точно; время обучения оказалось меньше. Такое сравнение соответствует предупреждению о непобитовой воспроизводимости обучения на GPU.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Намеренная ошибка из задания — объявить PSNR выше 20 дБ достаточным без эталона и диагностики d. В своей р</w:t>
      </w:r>
      <w:r>
        <w:rPr>
          <w:rFonts w:ascii="Times New Roman" w:hAnsi="Times New Roman" w:eastAsia="Times New Roman" w:cs="Times New Roman"/>
        </w:rPr>
        <w:t xml:space="preserve">аботе эта ошибка исключена сравнением с 18,1203 дБ средней картинки. Даже 17,2087 дБ режима A оказалось хуже тривиального ответа. Развёртка d показала зависимость качества от ёмкости, а просмотр выявил цветовые ошибки, которые одно число PSNR не описывает.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10. Ограничения и вывод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Результаты получены для синтетического набора с гладким фоном, одного</w:t>
      </w:r>
      <w:r>
        <w:rPr>
          <w:rFonts w:ascii="Times New Roman" w:hAnsi="Times New Roman" w:eastAsia="Times New Roman" w:cs="Times New Roman"/>
        </w:rPr>
        <w:t xml:space="preserve"> уровня шума σ=0,2 и фиксированных 20 эпох. Они не показывают качество на фотографиях или при другом шуме. Визуальный анализ ограничен восемью сценами одного seed. PSNR учитывает пиксельную ошибку, но не разделяет размытие, сдвиг диска и изменение оттенка.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Пять seed дают ограниченную оценку разброса. Для PSNR критерий 2s выполнен с минимальным</w:t>
      </w:r>
      <w:r>
        <w:rPr>
          <w:rFonts w:ascii="Times New Roman" w:hAnsi="Times New Roman" w:eastAsia="Times New Roman" w:cs="Times New Roman"/>
        </w:rPr>
        <w:t xml:space="preserve"> запасом; в сводке преподавателя для варианта 23 он не сработал. Это подчёркивает чувствительность признака к конкретным обучениям. Практическое улучшение PSNR и рост времени согласуются с его результатами. Повтор на новой виртуальной машине не проводился.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библиотеке один генератор используется для перемешивания данных и доб</w:t>
      </w:r>
      <w:r>
        <w:rPr>
          <w:rFonts w:ascii="Times New Roman" w:hAnsi="Times New Roman" w:eastAsia="Times New Roman" w:cs="Times New Roman"/>
        </w:rPr>
        <w:t xml:space="preserve">авления шума. В режиме B расход случайных чисел меняется, поэтому меняется и порядок пакетов в последующих эпохах. Это ограничивает разделение эффекта шумового обучения и стохастики оптимизации. Порядок A→B фиксирован; время также зависит от состояния GPU.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Шумоподавляющее обучение повысило тестовый PSNR на 3,407 дБ и превысило эталон средней картинки на 2,495 дБ. Разрыв train−test остался небольшим, число параметров сохранилось, время выросло на 96,58%. Гипотеза о ч</w:t>
      </w:r>
      <w:r>
        <w:rPr>
          <w:rFonts w:ascii="Times New Roman" w:hAnsi="Times New Roman" w:eastAsia="Times New Roman" w:cs="Times New Roman"/>
        </w:rPr>
        <w:t xml:space="preserve">исленном улучшении и дополнительных затратах подтвердилась. По сохранению оттенка результат ограничен: режим B лучше выделяет объект, но заметно искажает цвет. Для проверенного уровня шума выбран B, при этом точную цветопередачу считать достигнутой нельзя.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11. Материалы и индивидуальная часть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Индивидуальная часть включает гипотезу и допуски варианта 2</w:t>
      </w:r>
      <w:r>
        <w:rPr>
          <w:rFonts w:ascii="Times New Roman" w:hAnsi="Times New Roman" w:eastAsia="Times New Roman" w:cs="Times New Roman"/>
        </w:rPr>
        <w:t xml:space="preserve">3, запуск двух режимов по пяти seed, расчёт эталонов, диагностику d, проверку метрик и анализ цвета. Использована учебная библиотека lab07_lib.py; сохранение массивов, весов, паспортов и сравнительных листов оформлено отдельным скриптом tools/run_lab07.py.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</w:t>
      </w:r>
      <w:r>
        <w:rPr>
          <w:rFonts w:ascii="Times New Roman" w:hAnsi="Times New Roman" w:eastAsia="Times New Roman" w:cs="Times New Roman"/>
        </w:rPr>
        <w:t xml:space="preserve">епозиторий: https://github.com/LeeDef18/AI_creative_tech. Папка работы — Лабораторная7. Выполненный блокнот — colab/LR07_23.ipynb; после публикации доступен по адресу https://github.com/LeeDef18/AI_creative_tech/blob/main/Лабораторная7/colab/LR07_23.ipynb.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Результаты сохранены в artifacts/v23_20261015_170113_333088. Паспорт находится в passport.json, измерения — в measurements.csv, итоговая таблица — </w:t>
      </w:r>
      <w:r>
        <w:rPr>
          <w:rFonts w:ascii="Times New Roman" w:hAnsi="Times New Roman" w:eastAsia="Times New Roman" w:cs="Times New Roman"/>
        </w:rPr>
        <w:t xml:space="preserve">в summary.csv. Контрольные суммы кода и гипотезы совпали с предварительной записью. PSNR сохранённых реконструкций seed 101 и эталонов пересчитан независимо по float32-массивам; сводные показатели проверены по сохранённым значениям для каждого изображения.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Источник методики и арх</w:t>
      </w:r>
      <w:r>
        <w:rPr>
          <w:rFonts w:ascii="Times New Roman" w:hAnsi="Times New Roman" w:eastAsia="Times New Roman" w:cs="Times New Roman"/>
        </w:rPr>
        <w:t xml:space="preserve">итектуры — «ЛР07. Построение автокодировщика», разделы 2–9, приложение А, файлы lab07_lib.py и lab07_demo.py. Сопоставление выполнено с таблицей раздела 6.3 и журналом demo_journal/results_30_variants.json. Эти материалы сохранены в исходной папке задания.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Приложение. Контрольные вопросы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1. Отличие от классификатора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Автокодировщик восстанавливает изображение, а классификатор предсказывает класс. В этой работе целевое значение — чистая сцена, обучение минимизирует MSE, а оценка использует тестовый PSNR.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2. Назначение узкого места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Оно ограничивает представление и заставляет сеть сохранять существенные свойства. При d не меньше размерности входа сеть может приблизиться к копированию, если нет других ограничений. В работе 3072 входных значения сжимаются до восьми.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3. Тест и разрыв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Тестовые сцены не используются для обновления весов. Положительный разрыв train−test показывает преимущество на обучающих примерах и может указывать на переобучение. В режиме B средний разрыв 0,0531 дБ, что невелико в пределах выбранного допуска.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4. Средняя картинка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Это среднее по обучающим изображениям, выдаваемое для каждого входа. Эталон дал 18,1203 дБ. Режим A оказался хуже него, B превысил его на 2,4950 дБ.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5. Факторы сцены и d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Цветной диск имеет четыре фактора: x, y, рад</w:t>
      </w:r>
      <w:r>
        <w:rPr>
          <w:rFonts w:ascii="Times New Roman" w:hAnsi="Times New Roman" w:eastAsia="Times New Roman" w:cs="Times New Roman"/>
        </w:rPr>
        <w:t xml:space="preserve">иус, оттенок. Узкое представление может терять часть вариаций. Четыре фактора не гарантируют, что сеть с d=4 обучится точно восстанавливать сцену; оттенок периодичен, а качество зависит и от оптимизации. Диагностика помогает проверить это экспериментально.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6. Чистая цель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Чистая цель учит удалять шум и восстанавливать сцену. При сравнении выхода с шумным входом сеть могла бы учиться воспроизводить само искажение.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7. Выигрыш к эталону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25,8−19,0=6,8 дБ. Это разность PSNR модели и эталона.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8. MSE и L1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MSE сильнее штрафует большие ошибки и непосредственно связана с PSNR. L1 по-другому распределяет штрафы и может иначе сходиться за фиксированное число эпох. Похожий внешний вид не гарантирует равного PSNR.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9. Меньшая выборка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При меньшем числе сцен представлено меньше сочетаний факторов. Обучение сильнее зависит от инициализации и порядка примеров, возможны переобучение и больший разброс. Это возможная тенденция, которую нужно проверять по серии seed.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10. Условия повторения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Нужны исходна</w:t>
      </w:r>
      <w:r>
        <w:rPr>
          <w:rFonts w:ascii="Times New Roman" w:hAnsi="Times New Roman" w:eastAsia="Times New Roman" w:cs="Times New Roman"/>
        </w:rPr>
        <w:t xml:space="preserve">я библиотека, вид сцен, seed данных и обучения, размеры train/test, архитектура и d, потери, Adam и его параметры, batch и эпохи, шум обучения и оценки, seed шума, версии PyTorch и GPU. Важно сохранить порядок измерений, определение PSNR, эталон и допуски.</w:t>
      </w:r>
      <w:r>
        <w:rPr>
          <w:rFonts w:ascii="Times New Roman" w:hAnsi="Times New Roman" w:eastAsia="Times New Roman" w:cs="Times New Roman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417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2"/>
      <w:pBdr/>
      <w:spacing/>
      <w:ind/>
      <w:jc w:val="center"/>
      <w:rPr/>
    </w:pPr>
    <w:fldSimple w:instr="PAGE \* MERGEFORMAT">
      <w:r>
        <w:t xml:space="preserve">1</w:t>
      </w:r>
    </w:fldSimple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9"/>
    <w:next w:val="699"/>
    <w:uiPriority w:val="39"/>
    <w:unhideWhenUsed/>
    <w:pPr>
      <w:pBdr/>
      <w:spacing w:after="100"/>
      <w:ind/>
    </w:pPr>
  </w:style>
  <w:style w:type="paragraph" w:styleId="190">
    <w:name w:val="toc 2"/>
    <w:basedOn w:val="699"/>
    <w:next w:val="699"/>
    <w:uiPriority w:val="39"/>
    <w:unhideWhenUsed/>
    <w:pPr>
      <w:pBdr/>
      <w:spacing w:after="100"/>
      <w:ind w:left="220"/>
    </w:pPr>
  </w:style>
  <w:style w:type="paragraph" w:styleId="191">
    <w:name w:val="toc 3"/>
    <w:basedOn w:val="699"/>
    <w:next w:val="699"/>
    <w:uiPriority w:val="39"/>
    <w:unhideWhenUsed/>
    <w:pPr>
      <w:pBdr/>
      <w:spacing w:after="100"/>
      <w:ind w:left="440"/>
    </w:pPr>
  </w:style>
  <w:style w:type="paragraph" w:styleId="192">
    <w:name w:val="toc 4"/>
    <w:basedOn w:val="699"/>
    <w:next w:val="699"/>
    <w:uiPriority w:val="39"/>
    <w:unhideWhenUsed/>
    <w:pPr>
      <w:pBdr/>
      <w:spacing w:after="100"/>
      <w:ind w:left="660"/>
    </w:pPr>
  </w:style>
  <w:style w:type="paragraph" w:styleId="193">
    <w:name w:val="toc 5"/>
    <w:basedOn w:val="699"/>
    <w:next w:val="699"/>
    <w:uiPriority w:val="39"/>
    <w:unhideWhenUsed/>
    <w:pPr>
      <w:pBdr/>
      <w:spacing w:after="100"/>
      <w:ind w:left="880"/>
    </w:pPr>
  </w:style>
  <w:style w:type="paragraph" w:styleId="194">
    <w:name w:val="toc 6"/>
    <w:basedOn w:val="699"/>
    <w:next w:val="699"/>
    <w:uiPriority w:val="39"/>
    <w:unhideWhenUsed/>
    <w:pPr>
      <w:pBdr/>
      <w:spacing w:after="100"/>
      <w:ind w:left="1100"/>
    </w:pPr>
  </w:style>
  <w:style w:type="paragraph" w:styleId="195">
    <w:name w:val="toc 7"/>
    <w:basedOn w:val="699"/>
    <w:next w:val="699"/>
    <w:uiPriority w:val="39"/>
    <w:unhideWhenUsed/>
    <w:pPr>
      <w:pBdr/>
      <w:spacing w:after="100"/>
      <w:ind w:left="1320"/>
    </w:pPr>
  </w:style>
  <w:style w:type="paragraph" w:styleId="196">
    <w:name w:val="toc 8"/>
    <w:basedOn w:val="699"/>
    <w:next w:val="699"/>
    <w:uiPriority w:val="39"/>
    <w:unhideWhenUsed/>
    <w:pPr>
      <w:pBdr/>
      <w:spacing w:after="100"/>
      <w:ind w:left="1540"/>
    </w:pPr>
  </w:style>
  <w:style w:type="paragraph" w:styleId="197">
    <w:name w:val="toc 9"/>
    <w:basedOn w:val="699"/>
    <w:next w:val="69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3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9"/>
    <w:next w:val="699"/>
    <w:uiPriority w:val="99"/>
    <w:unhideWhenUsed/>
    <w:pPr>
      <w:pBdr/>
      <w:spacing w:after="0" w:afterAutospacing="0"/>
      <w:ind/>
    </w:pPr>
  </w:style>
  <w:style w:type="paragraph" w:styleId="699" w:default="1">
    <w:name w:val="Normal"/>
    <w:qFormat/>
    <w:pPr>
      <w:pBdr/>
      <w:spacing w:after="100" w:line="259" w:lineRule="auto"/>
      <w:ind/>
    </w:pPr>
    <w:rPr>
      <w:rFonts w:ascii="Times New Roman" w:hAnsi="Times New Roman"/>
      <w:sz w:val="24"/>
    </w:rPr>
  </w:style>
  <w:style w:type="paragraph" w:styleId="700">
    <w:name w:val="Header"/>
    <w:basedOn w:val="699"/>
    <w:link w:val="70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1" w:customStyle="1">
    <w:name w:val="Header Char"/>
    <w:basedOn w:val="713"/>
    <w:link w:val="700"/>
    <w:uiPriority w:val="99"/>
    <w:pPr>
      <w:pBdr/>
      <w:spacing/>
      <w:ind/>
    </w:pPr>
  </w:style>
  <w:style w:type="paragraph" w:styleId="702">
    <w:name w:val="Footer"/>
    <w:basedOn w:val="699"/>
    <w:link w:val="70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3" w:customStyle="1">
    <w:name w:val="Footer Char"/>
    <w:basedOn w:val="713"/>
    <w:link w:val="702"/>
    <w:uiPriority w:val="99"/>
    <w:pPr>
      <w:pBdr/>
      <w:spacing/>
      <w:ind/>
    </w:pPr>
  </w:style>
  <w:style w:type="paragraph" w:styleId="704">
    <w:name w:val="Heading 1"/>
    <w:basedOn w:val="699"/>
    <w:next w:val="699"/>
    <w:link w:val="71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Times New Roman" w:hAnsi="Times New Roman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705">
    <w:name w:val="Heading 2"/>
    <w:basedOn w:val="699"/>
    <w:next w:val="699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Times New Roman" w:hAnsi="Times New Roman"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706">
    <w:name w:val="Heading 3"/>
    <w:basedOn w:val="699"/>
    <w:next w:val="699"/>
    <w:link w:val="71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7">
    <w:name w:val="Heading 4"/>
    <w:basedOn w:val="699"/>
    <w:next w:val="699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8">
    <w:name w:val="Heading 5"/>
    <w:basedOn w:val="699"/>
    <w:next w:val="699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9">
    <w:name w:val="Heading 6"/>
    <w:basedOn w:val="699"/>
    <w:next w:val="699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0">
    <w:name w:val="Heading 7"/>
    <w:basedOn w:val="699"/>
    <w:next w:val="699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1">
    <w:name w:val="Heading 8"/>
    <w:basedOn w:val="699"/>
    <w:next w:val="699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2">
    <w:name w:val="Heading 9"/>
    <w:basedOn w:val="699"/>
    <w:next w:val="699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3" w:default="1">
    <w:name w:val="Default Paragraph Font"/>
    <w:uiPriority w:val="1"/>
    <w:semiHidden/>
    <w:unhideWhenUsed/>
    <w:pPr>
      <w:pBdr/>
      <w:spacing/>
      <w:ind/>
    </w:pPr>
  </w:style>
  <w:style w:type="table" w:styleId="7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5" w:default="1">
    <w:name w:val="No List"/>
    <w:uiPriority w:val="99"/>
    <w:semiHidden/>
    <w:unhideWhenUsed/>
    <w:pPr>
      <w:pBdr/>
      <w:spacing/>
      <w:ind/>
    </w:pPr>
  </w:style>
  <w:style w:type="paragraph" w:styleId="716">
    <w:name w:val="No Spacing"/>
    <w:uiPriority w:val="1"/>
    <w:qFormat/>
    <w:pPr>
      <w:pBdr/>
      <w:spacing w:after="0" w:line="240" w:lineRule="auto"/>
      <w:ind/>
    </w:pPr>
  </w:style>
  <w:style w:type="character" w:styleId="717" w:customStyle="1">
    <w:name w:val="Heading 1 Char"/>
    <w:basedOn w:val="713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8" w:customStyle="1">
    <w:name w:val="Heading 2 Char"/>
    <w:basedOn w:val="713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9" w:customStyle="1">
    <w:name w:val="Heading 3 Char"/>
    <w:basedOn w:val="713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0">
    <w:name w:val="Title"/>
    <w:basedOn w:val="699"/>
    <w:next w:val="699"/>
    <w:link w:val="72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1" w:customStyle="1">
    <w:name w:val="Title Char"/>
    <w:basedOn w:val="713"/>
    <w:link w:val="72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2">
    <w:name w:val="Subtitle"/>
    <w:basedOn w:val="699"/>
    <w:next w:val="699"/>
    <w:link w:val="72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3" w:customStyle="1">
    <w:name w:val="Subtitle Char"/>
    <w:basedOn w:val="713"/>
    <w:link w:val="72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4">
    <w:name w:val="List Paragraph"/>
    <w:basedOn w:val="699"/>
    <w:uiPriority w:val="34"/>
    <w:qFormat/>
    <w:pPr>
      <w:pBdr/>
      <w:spacing/>
      <w:ind w:left="720"/>
      <w:contextualSpacing w:val="true"/>
    </w:pPr>
  </w:style>
  <w:style w:type="paragraph" w:styleId="725">
    <w:name w:val="Body Text"/>
    <w:basedOn w:val="699"/>
    <w:link w:val="726"/>
    <w:uiPriority w:val="99"/>
    <w:unhideWhenUsed/>
    <w:pPr>
      <w:pBdr/>
      <w:spacing w:after="120"/>
      <w:ind/>
    </w:pPr>
  </w:style>
  <w:style w:type="character" w:styleId="726" w:customStyle="1">
    <w:name w:val="Body Text Char"/>
    <w:basedOn w:val="713"/>
    <w:link w:val="725"/>
    <w:uiPriority w:val="99"/>
    <w:pPr>
      <w:pBdr/>
      <w:spacing/>
      <w:ind/>
    </w:pPr>
  </w:style>
  <w:style w:type="paragraph" w:styleId="727">
    <w:name w:val="Body Text 2"/>
    <w:basedOn w:val="699"/>
    <w:link w:val="728"/>
    <w:uiPriority w:val="99"/>
    <w:unhideWhenUsed/>
    <w:pPr>
      <w:pBdr/>
      <w:spacing w:after="120" w:line="480" w:lineRule="auto"/>
      <w:ind/>
    </w:pPr>
  </w:style>
  <w:style w:type="character" w:styleId="728" w:customStyle="1">
    <w:name w:val="Body Text 2 Char"/>
    <w:basedOn w:val="713"/>
    <w:link w:val="727"/>
    <w:uiPriority w:val="99"/>
    <w:pPr>
      <w:pBdr/>
      <w:spacing/>
      <w:ind/>
    </w:pPr>
  </w:style>
  <w:style w:type="paragraph" w:styleId="729">
    <w:name w:val="Body Text 3"/>
    <w:basedOn w:val="699"/>
    <w:link w:val="73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0" w:customStyle="1">
    <w:name w:val="Body Text 3 Char"/>
    <w:basedOn w:val="713"/>
    <w:link w:val="729"/>
    <w:uiPriority w:val="99"/>
    <w:pPr>
      <w:pBdr/>
      <w:spacing/>
      <w:ind/>
    </w:pPr>
    <w:rPr>
      <w:sz w:val="16"/>
      <w:szCs w:val="16"/>
    </w:rPr>
  </w:style>
  <w:style w:type="paragraph" w:styleId="731">
    <w:name w:val="List"/>
    <w:basedOn w:val="699"/>
    <w:uiPriority w:val="99"/>
    <w:unhideWhenUsed/>
    <w:pPr>
      <w:pBdr/>
      <w:spacing/>
      <w:ind w:hanging="360" w:left="360"/>
      <w:contextualSpacing w:val="true"/>
    </w:pPr>
  </w:style>
  <w:style w:type="paragraph" w:styleId="732">
    <w:name w:val="List 2"/>
    <w:basedOn w:val="699"/>
    <w:uiPriority w:val="99"/>
    <w:unhideWhenUsed/>
    <w:pPr>
      <w:pBdr/>
      <w:spacing/>
      <w:ind w:hanging="360" w:left="720"/>
      <w:contextualSpacing w:val="true"/>
    </w:pPr>
  </w:style>
  <w:style w:type="paragraph" w:styleId="733">
    <w:name w:val="List 3"/>
    <w:basedOn w:val="699"/>
    <w:uiPriority w:val="99"/>
    <w:unhideWhenUsed/>
    <w:pPr>
      <w:pBdr/>
      <w:spacing/>
      <w:ind w:hanging="360" w:left="1080"/>
      <w:contextualSpacing w:val="true"/>
    </w:pPr>
  </w:style>
  <w:style w:type="paragraph" w:styleId="734">
    <w:name w:val="List Bullet"/>
    <w:basedOn w:val="69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5">
    <w:name w:val="List Bullet 2"/>
    <w:basedOn w:val="69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6">
    <w:name w:val="List Bullet 3"/>
    <w:basedOn w:val="69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7">
    <w:name w:val="List Number"/>
    <w:basedOn w:val="69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8">
    <w:name w:val="List Number 2"/>
    <w:basedOn w:val="69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9">
    <w:name w:val="List Number 3"/>
    <w:basedOn w:val="69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0">
    <w:name w:val="List Continue"/>
    <w:basedOn w:val="699"/>
    <w:uiPriority w:val="99"/>
    <w:unhideWhenUsed/>
    <w:pPr>
      <w:pBdr/>
      <w:spacing w:after="120"/>
      <w:ind w:left="360"/>
      <w:contextualSpacing w:val="true"/>
    </w:pPr>
  </w:style>
  <w:style w:type="paragraph" w:styleId="741">
    <w:name w:val="List Continue 2"/>
    <w:basedOn w:val="699"/>
    <w:uiPriority w:val="99"/>
    <w:unhideWhenUsed/>
    <w:pPr>
      <w:pBdr/>
      <w:spacing w:after="120"/>
      <w:ind w:left="720"/>
      <w:contextualSpacing w:val="true"/>
    </w:pPr>
  </w:style>
  <w:style w:type="paragraph" w:styleId="742">
    <w:name w:val="List Continue 3"/>
    <w:basedOn w:val="699"/>
    <w:uiPriority w:val="99"/>
    <w:unhideWhenUsed/>
    <w:pPr>
      <w:pBdr/>
      <w:spacing w:after="120"/>
      <w:ind w:left="1080"/>
      <w:contextualSpacing w:val="true"/>
    </w:pPr>
  </w:style>
  <w:style w:type="paragraph" w:styleId="743">
    <w:name w:val="macro"/>
    <w:link w:val="74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4" w:customStyle="1">
    <w:name w:val="Macro Text Char"/>
    <w:basedOn w:val="713"/>
    <w:link w:val="74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5">
    <w:name w:val="Quote"/>
    <w:basedOn w:val="699"/>
    <w:next w:val="699"/>
    <w:link w:val="74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Quote Char"/>
    <w:basedOn w:val="713"/>
    <w:link w:val="745"/>
    <w:uiPriority w:val="29"/>
    <w:pPr>
      <w:pBdr/>
      <w:spacing/>
      <w:ind/>
    </w:pPr>
    <w:rPr>
      <w:i/>
      <w:iCs/>
      <w:color w:val="000000" w:themeColor="text1"/>
    </w:rPr>
  </w:style>
  <w:style w:type="character" w:styleId="747" w:customStyle="1">
    <w:name w:val="Heading 4 Char"/>
    <w:basedOn w:val="713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8" w:customStyle="1">
    <w:name w:val="Heading 5 Char"/>
    <w:basedOn w:val="713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9" w:customStyle="1">
    <w:name w:val="Heading 6 Char"/>
    <w:basedOn w:val="713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0" w:customStyle="1">
    <w:name w:val="Heading 7 Char"/>
    <w:basedOn w:val="713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1" w:customStyle="1">
    <w:name w:val="Heading 8 Char"/>
    <w:basedOn w:val="713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2" w:customStyle="1">
    <w:name w:val="Heading 9 Char"/>
    <w:basedOn w:val="713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3">
    <w:name w:val="Caption"/>
    <w:basedOn w:val="699"/>
    <w:next w:val="69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4">
    <w:name w:val="Strong"/>
    <w:basedOn w:val="713"/>
    <w:uiPriority w:val="22"/>
    <w:qFormat/>
    <w:pPr>
      <w:pBdr/>
      <w:spacing/>
      <w:ind/>
    </w:pPr>
    <w:rPr>
      <w:b/>
      <w:bCs/>
    </w:rPr>
  </w:style>
  <w:style w:type="character" w:styleId="755">
    <w:name w:val="Emphasis"/>
    <w:basedOn w:val="713"/>
    <w:uiPriority w:val="20"/>
    <w:qFormat/>
    <w:pPr>
      <w:pBdr/>
      <w:spacing/>
      <w:ind/>
    </w:pPr>
    <w:rPr>
      <w:i/>
      <w:iCs/>
    </w:rPr>
  </w:style>
  <w:style w:type="paragraph" w:styleId="756">
    <w:name w:val="Intense Quote"/>
    <w:basedOn w:val="699"/>
    <w:next w:val="699"/>
    <w:link w:val="75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7" w:customStyle="1">
    <w:name w:val="Intense Quote Char"/>
    <w:basedOn w:val="713"/>
    <w:link w:val="75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8">
    <w:name w:val="Subtle Emphasis"/>
    <w:basedOn w:val="71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9">
    <w:name w:val="Intense Emphasis"/>
    <w:basedOn w:val="71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0">
    <w:name w:val="Subtle Reference"/>
    <w:basedOn w:val="71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1">
    <w:name w:val="Intense Reference"/>
    <w:basedOn w:val="71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2">
    <w:name w:val="Book Title"/>
    <w:basedOn w:val="71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3">
    <w:name w:val="TOC Heading"/>
    <w:basedOn w:val="704"/>
    <w:next w:val="699"/>
    <w:uiPriority w:val="39"/>
    <w:semiHidden/>
    <w:unhideWhenUsed/>
    <w:qFormat/>
    <w:pPr>
      <w:pBdr/>
      <w:spacing/>
      <w:ind/>
      <w:outlineLvl w:val="9"/>
    </w:pPr>
  </w:style>
  <w:style w:type="table" w:styleId="764">
    <w:name w:val="Table Grid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"/>
    <w:basedOn w:val="71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1"/>
    <w:basedOn w:val="71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2"/>
    <w:basedOn w:val="71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3"/>
    <w:basedOn w:val="71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4"/>
    <w:basedOn w:val="71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5"/>
    <w:basedOn w:val="71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6"/>
    <w:basedOn w:val="71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1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2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3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4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5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6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1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2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3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4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5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6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1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2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3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4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5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6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1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2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3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4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5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6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1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2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3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4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5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6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1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2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3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4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5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6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1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2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3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4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5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6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1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2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3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4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5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6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1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2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3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4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5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6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1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2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3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4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5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6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1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2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3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4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5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6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1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2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3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4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5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6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1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2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3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4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5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6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jp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7. Вариант 23</dc:title>
  <dc:subject/>
  <dc:creator>Король Алексей Юрьевич</dc:creator>
  <cp:keywords/>
  <dc:description>generated by python-docx</dc:description>
  <cp:revision>2</cp:revision>
  <dcterms:created xsi:type="dcterms:W3CDTF">2013-12-23T23:15:00Z</dcterms:created>
  <dcterms:modified xsi:type="dcterms:W3CDTF">2026-10-15T17:16:22Z</dcterms:modified>
  <cp:category/>
</cp:coreProperties>
</file>