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0FDD67">
      <w:pPr>
        <w:pBdr/>
        <w:spacing w:line="240" w:lineRule="auto"/>
        <w:ind w:right="0" w:firstLine="0" w:left="432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190" cy="682751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518342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5187" cy="68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.23pt;height:53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69F20A60">
      <w:pPr>
        <w:pStyle w:val="725"/>
        <w:pBdr/>
        <w:spacing/>
        <w:ind w:right="168" w:firstLine="0"/>
        <w:jc w:val="left"/>
        <w:rPr/>
      </w:pPr>
      <w:r>
        <w:rPr>
          <w:spacing w:val="-2"/>
          <w:highlight w:val="none"/>
        </w:rPr>
      </w:r>
      <w:r/>
      <w:r/>
    </w:p>
    <w:p w14:paraId="3B463E38">
      <w:pPr>
        <w:pStyle w:val="725"/>
        <w:pBdr/>
        <w:spacing/>
        <w:ind w:right="168" w:firstLine="0"/>
        <w:jc w:val="left"/>
        <w:rPr>
          <w:spacing w:val="-2"/>
          <w:highlight w:val="none"/>
        </w:rPr>
      </w:pPr>
      <w:r>
        <w:t xml:space="preserve">МИНИСТЕРСТВО</w:t>
      </w:r>
      <w:r>
        <w:rPr>
          <w:spacing w:val="-3"/>
        </w:rPr>
        <w:t xml:space="preserve"> </w:t>
      </w:r>
      <w:r>
        <w:t xml:space="preserve">НАУКИ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ВЫСШЕГО</w:t>
      </w:r>
      <w:r>
        <w:rPr>
          <w:spacing w:val="-3"/>
        </w:rPr>
        <w:t xml:space="preserve"> </w:t>
      </w:r>
      <w:r>
        <w:t xml:space="preserve">ОБРАЗОВАНИЯ</w:t>
      </w:r>
      <w:r>
        <w:rPr>
          <w:spacing w:val="-2"/>
        </w:rPr>
        <w:t xml:space="preserve"> </w:t>
      </w:r>
      <w:r>
        <w:t xml:space="preserve">РОССИЙСКОЙ</w:t>
      </w:r>
      <w:r>
        <w:rPr>
          <w:spacing w:val="-2"/>
        </w:rPr>
        <w:t xml:space="preserve"> ФЕДЕРАЦИИ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74BD044C">
      <w:pPr>
        <w:pBdr/>
        <w:spacing w:before="182" w:line="235" w:lineRule="auto"/>
        <w:ind w:right="1460" w:firstLine="0" w:left="1462"/>
        <w:jc w:val="center"/>
        <w:rPr>
          <w:sz w:val="20"/>
        </w:rPr>
      </w:pPr>
      <w:r>
        <w:rPr>
          <w:sz w:val="20"/>
        </w:rPr>
        <w:t xml:space="preserve"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БЮДЖЕТНОЕ ОБРАЗОВАТЕЛЬНОЕ УЧРЕЖДЕНИЕ</w:t>
      </w:r>
      <w:r>
        <w:rPr>
          <w:sz w:val="20"/>
        </w:rPr>
      </w:r>
      <w:r>
        <w:rPr>
          <w:sz w:val="20"/>
        </w:rPr>
      </w:r>
    </w:p>
    <w:p w14:paraId="6483EC56">
      <w:pPr>
        <w:pBdr/>
        <w:spacing w:before="2"/>
        <w:ind w:right="1463" w:firstLine="0" w:left="1462"/>
        <w:jc w:val="center"/>
        <w:rPr>
          <w:sz w:val="20"/>
        </w:rPr>
      </w:pPr>
      <w:r>
        <w:rPr>
          <w:sz w:val="20"/>
        </w:rPr>
        <w:t xml:space="preserve"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ОБРАЗОВАНИЯ</w:t>
      </w:r>
      <w:r>
        <w:rPr>
          <w:sz w:val="20"/>
        </w:rPr>
      </w:r>
      <w:r>
        <w:rPr>
          <w:sz w:val="20"/>
        </w:rPr>
      </w:r>
    </w:p>
    <w:p w14:paraId="0832B230">
      <w:pPr>
        <w:pBdr/>
        <w:spacing w:before="0"/>
        <w:ind w:right="1460" w:firstLine="0" w:left="1463"/>
        <w:jc w:val="center"/>
        <w:rPr>
          <w:sz w:val="20"/>
        </w:rPr>
      </w:pPr>
      <w:r>
        <w:rPr>
          <w:sz w:val="20"/>
        </w:rPr>
        <w:t xml:space="preserve"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 xml:space="preserve">(ДГТУ)</w:t>
      </w:r>
      <w:r>
        <w:rPr>
          <w:sz w:val="20"/>
        </w:rPr>
      </w:r>
      <w:r>
        <w:rPr>
          <w:sz w:val="20"/>
        </w:rPr>
      </w:r>
    </w:p>
    <w:p w14:paraId="4774EA8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</w:rPr>
        <w:t xml:space="preserve">ЛАБОРАТОРНАЯ РАБОТА № 3</w:t>
      </w:r>
      <w:r>
        <w:rPr>
          <w:b/>
          <w:bCs/>
          <w:sz w:val="32"/>
          <w:szCs w:val="32"/>
          <w:highlight w:val="none"/>
        </w:rPr>
      </w:r>
    </w:p>
    <w:p w14:paraId="185403E2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  <w:r>
        <w:rPr>
          <w:b/>
          <w:sz w:val="32"/>
          <w:szCs w:val="32"/>
          <w:highlight w:val="none"/>
        </w:rPr>
      </w:r>
    </w:p>
    <w:p w14:paraId="508AA379">
      <w:pPr>
        <w:pBdr/>
        <w:spacing/>
        <w:ind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Вариант 23</w:t>
      </w:r>
      <w:r>
        <w:rPr>
          <w:b/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Подготовка изображений и визуализация в Engee</w:t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Искусственный интеллект в креативных технологиях</w:t>
      </w:r>
      <w:r>
        <w:rPr>
          <w:b w:val="0"/>
          <w:bCs w:val="0"/>
        </w:rPr>
      </w:r>
    </w:p>
    <w:p>
      <w:pPr>
        <w:pBdr/>
        <w:spacing/>
        <w:ind/>
        <w:rPr/>
      </w:pPr>
      <w:r>
        <w:br/>
        <w:br/>
      </w:r>
      <w:r/>
    </w:p>
    <w:p>
      <w:pPr>
        <w:pBdr/>
        <w:spacing/>
        <w:ind/>
        <w:jc w:val="right"/>
        <w:rPr/>
      </w:pPr>
      <w:r>
        <w:t xml:space="preserve">Выполнил: Король Алексей Юрьевич</w:t>
      </w:r>
      <w:r/>
    </w:p>
    <w:p>
      <w:pPr>
        <w:pBdr/>
        <w:spacing/>
        <w:ind/>
        <w:jc w:val="right"/>
        <w:rPr/>
      </w:pPr>
      <w:r>
        <w:t xml:space="preserve">Группа: Т26ИИКТ-МИМО11</w:t>
      </w:r>
      <w:r/>
    </w:p>
    <w:p>
      <w:pPr>
        <w:pBdr/>
        <w:spacing/>
        <w:ind/>
        <w:jc w:val="right"/>
        <w:rPr/>
      </w:pPr>
      <w:r>
        <w:t xml:space="preserve">Дата выполнения: 12.10.2026</w:t>
      </w:r>
      <w:r/>
    </w:p>
    <w:p w14:paraId="68FFA760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3AA13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FDB87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C5529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FD9BE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46222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A49DC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BD99D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B0D30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40D105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DE50D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AC741E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br/>
        <w:t xml:space="preserve">2026</w:t>
      </w:r>
      <w:r/>
      <w:r>
        <w:br w:type="page" w:clear="all"/>
      </w:r>
      <w:r/>
      <w:r>
        <w:rPr>
          <w:highlight w:val="none"/>
        </w:rPr>
      </w:r>
    </w:p>
    <w:p>
      <w:pPr>
        <w:pStyle w:val="704"/>
        <w:pBdr/>
        <w:spacing/>
        <w:ind/>
        <w:rPr/>
      </w:pPr>
      <w:r>
        <w:t xml:space="preserve">1. Цель и постановка задачи</w:t>
      </w:r>
      <w:r/>
    </w:p>
    <w:p>
      <w:pPr>
        <w:pBdr/>
        <w:spacing/>
        <w:ind/>
        <w:rPr/>
      </w:pPr>
      <w:r>
        <w:t xml:space="preserve">Цель работы — исследовать, как гамма-коррекция изменяет яркость и распределение значений синтетического изображения, проверить воспроизводимость и сравнить статистическую и практическую значимость изменений.</w:t>
      </w:r>
      <w:r/>
    </w:p>
    <w:p>
      <w:pPr>
        <w:pBdr/>
        <w:spacing/>
        <w:ind/>
        <w:rPr/>
      </w:pPr>
      <w:r>
        <w:t xml:space="preserve">В варианте 23 используется сцена с сильным шумом. Воздействие — преобразование y = x^0,5. Сравнение проведено по серии seed 101–105. Для каждого запуска измерены средняя яркость, контраст, энтропия гистограммы и PSNR относительно исходного массива.</w:t>
      </w:r>
      <w:r/>
    </w:p>
    <w:p>
      <w:pPr>
        <w:pStyle w:val="704"/>
        <w:pBdr/>
        <w:spacing/>
        <w:ind/>
        <w:rPr/>
      </w:pPr>
      <w:r>
        <w:t xml:space="preserve">2. Гипотеза и критерии</w:t>
      </w:r>
      <w:r/>
    </w:p>
    <w:p>
      <w:pPr>
        <w:pBdr/>
        <w:spacing/>
        <w:ind/>
        <w:rPr/>
      </w:pPr>
      <w:r>
        <w:t xml:space="preserve">До запуска предполагалось, что средняя яркость увеличится, гистограмма сместится вправ</w:t>
      </w:r>
      <w:r>
        <w:t xml:space="preserve">о, а контраст уменьшится. Направление изменения энтропии заранее не фиксировалось. Ожидалось заметное численное отличие от исходного изображения и PSNR ниже 30 дБ. Гипотеза сохранена в reports/hypothesis.md и скопирована в папку запуска до генерации сцены.</w:t>
      </w:r>
      <w:r/>
    </w:p>
    <w:p>
      <w:pPr>
        <w:pBdr/>
        <w:spacing/>
        <w:ind/>
        <w:rPr/>
      </w:pPr>
      <w:r>
        <w:t xml:space="preserve">Учебный ста</w:t>
      </w:r>
      <w:r>
        <w:t xml:space="preserve">тистический критерий: |Δ| &gt; 2s, где Δ — разность средних после и до обработки, а s — выборочное стандартное отклонение базовой метрики между seed. Это правило сравнения эффекта с разбросом, а не формальный статистический тест с заданным уровнем значимости.</w:t>
      </w:r>
      <w:r/>
    </w:p>
    <w:p>
      <w:pPr>
        <w:pBdr/>
        <w:spacing/>
        <w:ind/>
        <w:rPr/>
      </w:pPr>
      <w:r>
        <w:t xml:space="preserve">Практический порог для каждой метрики — относительное изменение больше </w:t>
      </w:r>
      <w:r>
        <w:t xml:space="preserve">5%. Для PSNR выбран порог 30 дБ, что соответствует MSE = 0,001 при диапазоне [0,1]. Пороги заданы как ориентиры численного изменения, а не как универсальные критерии зрительного качества. Дополнительно рассмотрены допуски 1% и 10%, а для PSNR — 25 и 35 дБ.</w:t>
      </w:r>
      <w:r/>
    </w:p>
    <w:p>
      <w:pPr>
        <w:pStyle w:val="704"/>
        <w:pBdr/>
        <w:spacing/>
        <w:ind/>
        <w:rPr/>
      </w:pPr>
      <w:r>
        <w:t xml:space="preserve">3. Данные и среда</w:t>
      </w:r>
      <w:r/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>
        <w:trPr>
          <w:cantSplit/>
          <w:tblHeader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Параметр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Значение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Engee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26.9.2-H4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Julia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1.12.4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Сцена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128×128; lo=0.15; hi=0.85; noise=0.08; checker=0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Тип исходного массива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RGB{Float64}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Диапазон каналов RGB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[0; 1]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Объём массива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393216 байт = 128×128×3×8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Гистограмма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32 интервала на [0; 1]</w:t>
            </w:r>
            <w:r/>
          </w:p>
        </w:tc>
      </w:tr>
      <w:tr>
        <w:trPr>
          <w:cantSplit/>
        </w:trPr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Серия</w:t>
            </w:r>
            <w:r/>
          </w:p>
        </w:tc>
        <w:tc>
          <w:tcPr>
            <w:tcBorders/>
            <w:tcW w:w="6803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seed 101, 102, 103, 104, 105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Изображения синтетические: градие</w:t>
      </w:r>
      <w:r>
        <w:t xml:space="preserve">нт, центральный круг и гауссов шум, полученный локальным генератором MersenneTwister. Внешние фотографии не использовались. Параметр noise=0.08 задаёт масштаб шума каналов до ограничения значений диапазоном [0,1]; он не равен измеренному контрасту яркости.</w:t>
      </w:r>
      <w:r/>
    </w:p>
    <w:p>
      <w:pPr>
        <w:pBdr/>
        <w:spacing/>
        <w:ind/>
        <w:rPr/>
      </w:pPr>
      <w:r>
        <w:t xml:space="preserve">Использованы учебная библиотека lab03_lib.jl и скрипт LR03_23.jl. Номер версии библиотеки в исходном файле не ук</w:t>
      </w:r>
      <w:r>
        <w:t xml:space="preserve">азан; идентификатором служит SHA-256. Перед запуском в файле библиотеки удалены комментарии, поэтому его SHA-256 отличается от исходного файла в репозитории. Удаление комментариев не меняет алгоритм. Хеши основного скрипта и гипотезы совпадают с паспортом.</w:t>
      </w:r>
      <w:r/>
    </w:p>
    <w:p>
      <w:pPr>
        <w:pStyle w:val="704"/>
        <w:pBdr/>
        <w:spacing/>
        <w:ind/>
        <w:rPr/>
      </w:pPr>
      <w:r>
        <w:t xml:space="preserve">4. Ход работы и воспроизводимость</w:t>
      </w:r>
      <w:r/>
    </w:p>
    <w:p>
      <w:pPr>
        <w:pBdr/>
        <w:spacing/>
        <w:ind/>
        <w:rPr/>
      </w:pPr>
      <w:r>
        <w:t xml:space="preserve">Первый запуск остановился до генерации сцены: внутри модуля не определялось имя MersenneTwister. В основном скрипте добавлены явные импорты используемых функций. После загрузки исправленного скрипта повторный запуск завершился с RESULT: PASS.</w:t>
      </w:r>
      <w:r/>
    </w:p>
    <w:p>
      <w:pPr>
        <w:pBdr/>
        <w:spacing/>
        <w:ind/>
        <w:rPr/>
      </w:pPr>
      <w:r>
        <w:rPr>
          <w:rFonts w:ascii="DejaVu Sans Mono" w:hAnsi="DejaVu Sans Mono"/>
          <w:sz w:val="18"/>
        </w:rPr>
        <w:t xml:space="preserve">cd("/user/AI_creative_tech/LR03")</w:t>
      </w:r>
      <w:r/>
    </w:p>
    <w:p>
      <w:pPr>
        <w:pBdr/>
        <w:spacing/>
        <w:ind/>
        <w:rPr/>
      </w:pPr>
      <w:r>
        <w:rPr>
          <w:rFonts w:ascii="DejaVu Sans Mono" w:hAnsi="DejaVu Sans Mono"/>
          <w:sz w:val="18"/>
        </w:rPr>
        <w:t xml:space="preserve">include("LR03_23.jl")</w:t>
      </w:r>
      <w:r/>
    </w:p>
    <w:p>
      <w:pPr>
        <w:pBdr/>
        <w:spacing/>
        <w:ind/>
        <w:rPr/>
      </w:pPr>
      <w:r>
        <w:rPr>
          <w:rFonts w:ascii="DejaVu Sans Mono" w:hAnsi="DejaVu Sans Mono"/>
          <w:sz w:val="18"/>
        </w:rPr>
        <w:t xml:space="preserve">result_dir = LR03.run_experiment(engee_version="26.9.2-H4")</w:t>
      </w:r>
      <w:r/>
    </w:p>
    <w:p>
      <w:pPr>
        <w:pBdr/>
        <w:spacing/>
        <w:ind/>
        <w:rPr/>
      </w:pPr>
      <w:r>
        <w:t xml:space="preserve">Яркость рассчи</w:t>
      </w:r>
      <w:r>
        <w:t xml:space="preserve">тана вручную по формуле 0,299R + 0,587G + 0,114B и через Gray. Максимальная абсолютная разность составила 1,183776×10⁻⁸, что меньше заранее заданного допуска 10⁻⁷. Поэтому способы согласуются в пределах допуска; побитовое равенство между ними не требуется.</w:t>
      </w:r>
      <w:r/>
    </w:p>
    <w:p>
      <w:pPr>
        <w:pBdr/>
        <w:spacing/>
        <w:ind/>
        <w:rPr/>
      </w:pPr>
      <w:r>
        <w:t xml:space="preserve">Сцена с seed 101 построена дважды одним способом. Массивы совпали полностью; оба значения SHA-256 одинаковы:</w:t>
      </w:r>
      <w:r/>
    </w:p>
    <w:p>
      <w:pPr>
        <w:pBdr/>
        <w:spacing/>
        <w:ind/>
        <w:rPr/>
      </w:pPr>
      <w:r>
        <w:rPr>
          <w:sz w:val="18"/>
        </w:rPr>
        <w:t xml:space="preserve">224b1f6040695ed13abf1c4d1ba34447801ee417232b576388cd05f9103a29a6</w:t>
      </w:r>
      <w:r/>
    </w:p>
    <w:p>
      <w:pPr>
        <w:pBdr/>
        <w:spacing/>
        <w:ind/>
        <w:rPr/>
      </w:pPr>
      <w:r>
        <w:t xml:space="preserve">К исх</w:t>
      </w:r>
      <w:r>
        <w:t xml:space="preserve">одной яркости применено apply_factor(g, 5). По пяти seed получены таблицы series.csv и summary.csv. Сводные значения дополнительно сверены с variant_summary(23). Метрики рассчитаны по Float64 до экспорта; PNG с 8 битами на канал используются для просмотра.</w:t>
      </w:r>
      <w:r/>
    </w:p>
    <w:p>
      <w:pPr>
        <w:pStyle w:val="704"/>
        <w:pBdr/>
        <w:spacing/>
        <w:ind/>
        <w:rPr/>
      </w:pPr>
      <w:r>
        <w:t xml:space="preserve">5. Изображения и гистограммы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ene_rgb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1.73pt;height:141.7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t xml:space="preserve">Рисунок 1 — исходная цветная сцена, seed 101.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tcBorders/>
            <w:tcW w:w="4819" w:type="dxa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60000" cy="2160000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befor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60000" cy="21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70.08pt;height:170.08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819" w:type="dxa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60000" cy="2160000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aft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60000" cy="21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70.08pt;height:170.08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spacing/>
        <w:ind/>
        <w:jc w:val="center"/>
        <w:rPr/>
      </w:pPr>
      <w:r>
        <w:t xml:space="preserve">Рисунок 2 — яркость до коррекции (слева) и после гамма-коррекции 0,5 (справа).</w:t>
      </w:r>
      <w:r/>
    </w:p>
    <w:p>
      <w:pPr>
        <w:pBdr/>
        <w:spacing/>
        <w:ind/>
        <w:rPr/>
      </w:pPr>
      <w:r>
        <w:t xml:space="preserve">После коррекции изображение заметно светлее. Центральный круг остаётся различимым, но разница яркости между ним и</w:t>
      </w:r>
      <w:r>
        <w:t xml:space="preserve"> окружающим фоном уменьшается. Зернистая структура сохраняется и выглядит менее контрастной. Это изменение отображения шума, а не подтверждение его удаления: фильтрация в эксперименте не выполнялась. Геометрия сцены сохраняется, новые детали не появляются.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000" cy="4371429"/>
                <wp:effectExtent l="0" t="0" r="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istogram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000" cy="4371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89pt;height:344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t xml:space="preserve">Рисунок 3 — гистограммы яркости до и после коррекции, seed 101; масштабы осей одинаковы.</w:t>
      </w:r>
      <w:r/>
    </w:p>
    <w:p>
      <w:pPr>
        <w:pBdr/>
        <w:spacing/>
        <w:ind/>
        <w:rPr/>
      </w:pPr>
      <w:r>
        <w:t xml:space="preserve">Основная масса отсчётов смещается из обл</w:t>
      </w:r>
      <w:r>
        <w:t xml:space="preserve">асти около 0,4–0,6 в область около 0,6–0,8. Распределение становится уже, а вершина — выше. Высота столбцов отражает число пикселей в интервале, поэтому более высокий пик не означает увеличения числа пикселей: сумма частот в каждой гистограмме равна 16384.</w:t>
      </w:r>
      <w:r/>
    </w:p>
    <w:p>
      <w:pPr>
        <w:pStyle w:val="704"/>
        <w:pBdr/>
        <w:spacing/>
        <w:ind/>
        <w:rPr/>
      </w:pPr>
      <w:r>
        <w:t xml:space="preserve">6. Численные результаты</w:t>
      </w:r>
      <w:r/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Метрика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До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s базы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После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Δ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Средняя яркость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0,471957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0,000322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0,684223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0,212266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Контраст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0,082346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0,000610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0,061609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-0,020737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Энтропия, бит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3,425146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0,012486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2,987944</w:t>
            </w:r>
            <w:r/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-0,437202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1"/>
        <w:gridCol w:w="1417"/>
        <w:gridCol w:w="1871"/>
        <w:gridCol w:w="1701"/>
        <w:gridCol w:w="2268"/>
      </w:tblGrid>
      <w:tr>
        <w:trPr>
          <w:cantSplit/>
          <w:tblHeader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Метрика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|Δ|/s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Изменение, %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|Δ| &gt; 2s</w:t>
            </w:r>
            <w:r/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За порогом 5%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Средняя яркость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660.18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+44.98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Да</w:t>
            </w:r>
            <w:r/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Да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Контраст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33.98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-25.18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Да</w:t>
            </w:r>
            <w:r/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Да</w:t>
            </w:r>
            <w:r/>
          </w:p>
        </w:tc>
      </w:tr>
      <w:tr>
        <w:trPr>
          <w:cantSplit/>
        </w:trPr>
        <w:tc>
          <w:tcPr>
            <w:tcBorders/>
            <w:tcW w:w="238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Энтропия, бит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35.02</w:t>
            </w:r>
            <w:r/>
          </w:p>
        </w:tc>
        <w:tc>
          <w:tcPr>
            <w:tcBorders/>
            <w:tcW w:w="187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-12.76</w:t>
            </w:r>
            <w:r/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Да</w:t>
            </w:r>
            <w:r/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Да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Для всех трёх метрик эффект превышает два базовых ст</w:t>
      </w:r>
      <w:r>
        <w:t xml:space="preserve">андартных отклонения. Средняя яркость увеличилась на 44,98%, контраст уменьшился на 25,18%, энтропия — на 12,76%. Все изменения выходят за практический допуск 5%. Предположения о яркости и контрасте подтвердились; для энтропии эксперимент показал снижение.</w:t>
      </w:r>
      <w:r/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Seed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MSE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/>
                <w:sz w:val="20"/>
              </w:rPr>
              <w:t xml:space="preserve">PSNR, дБ</w:t>
            </w:r>
            <w:r/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101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0,045580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13,412240</w:t>
            </w:r>
            <w:r/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102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0,045487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13,421097</w:t>
            </w:r>
            <w:r/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103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0,045487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13,421134</w:t>
            </w:r>
            <w:r/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104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0,045486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13,421189</w:t>
            </w:r>
            <w:r/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105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0,045485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/>
            </w:pPr>
            <w:r>
              <w:rPr>
                <w:b w:val="0"/>
                <w:sz w:val="20"/>
              </w:rPr>
              <w:t xml:space="preserve">13,421313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Средний PSNR по серии равен 13,419394 дБ; минимум — 13,412240 дБ, максимум</w:t>
      </w:r>
      <w:r>
        <w:t xml:space="preserve"> — 13,421313 дБ. Все пять значений ниже 30 дБ. Среднее вычислено по индивидуальным PSNR, а не преобразованием среднего MSE. Низкий PSNR ожидаем при намеренном осветлении: он характеризует отличие от исходника, но не оценивает привлекательность изображения.</w:t>
      </w:r>
      <w:r/>
    </w:p>
    <w:p>
      <w:pPr>
        <w:pStyle w:val="704"/>
        <w:pBdr/>
        <w:spacing/>
        <w:ind/>
        <w:rPr/>
      </w:pPr>
      <w:r>
        <w:t xml:space="preserve">7. Анализ и ограничения</w:t>
      </w:r>
      <w:r/>
    </w:p>
    <w:p>
      <w:pPr>
        <w:pBdr/>
        <w:spacing/>
        <w:ind/>
        <w:rPr/>
      </w:pPr>
      <w:r>
        <w:t xml:space="preserve">Для</w:t>
      </w:r>
      <w:r>
        <w:t xml:space="preserve"> 0&lt;x&lt;1 выполняется sqrt(x)&gt;x, поэтому увеличение средней яркости закономерно. В окрестности средних яркостей наклон преобразования 1/(2√x) меньше единицы: различия между соседними значениями сжимаются. Для данной сцены это согласуется с уменьшением контрас</w:t>
      </w:r>
      <w:r>
        <w:t xml:space="preserve">та и сужением гистограммы. Энтропия фиксированной 32-интервальной гистограммы снизилась вследствие изменения распределения частот. Это не доказательство потери всей информации: преобразование sqrt(x) обратимо на [0,1] до учёта конечной точности и экспорта.</w:t>
      </w:r>
      <w:r/>
    </w:p>
    <w:p>
      <w:pPr>
        <w:pBdr/>
        <w:spacing/>
        <w:ind/>
        <w:rPr/>
      </w:pPr>
      <w:r>
        <w:t xml:space="preserve">Хотя шум в сцене сильный, разброс агрегированных метрик по seed мал: структура изображения остаётся одинаковой, а метрик</w:t>
      </w:r>
      <w:r>
        <w:t xml:space="preserve">и усредняют много пикселей. Поэтому |Δ|/s значительно больше двух. Практический вывод проверяется отдельно: даже при увеличении допуска до 10% все три изменения остаются за порогом. PSNR ниже 25, 30 и 35 дБ. В пределах рассмотренных порогов вывод устойчив.</w:t>
      </w:r>
      <w:r/>
    </w:p>
    <w:p>
      <w:pPr>
        <w:pBdr/>
        <w:spacing/>
        <w:ind/>
        <w:rPr/>
      </w:pPr>
      <w:r>
        <w:t xml:space="preserve">Ограничения: одна синтетическая сцена, пять seed, один показатель гаммы и фиксированные 32 интервала. По этим данным нельзя делать выводы обо всех изображениях или кач</w:t>
      </w:r>
      <w:r>
        <w:t xml:space="preserve">естве восприятия. Разброс между seed не отражает разнообразие реальных сюжетов. Визуальная оценка также зависит от масштаба просмотра и дисплея. Значения метрик относятся к массивам Float64; повторное измерение по 8-битным PNG может дать небольшие отличия.</w:t>
      </w:r>
      <w:r/>
    </w:p>
    <w:p>
      <w:pPr>
        <w:pBdr/>
        <w:spacing/>
        <w:ind/>
        <w:rPr/>
      </w:pPr>
      <w:r>
        <w:t xml:space="preserve">Для расширения проверки можно повторить протокол на собственном изображении с подтверждёнными правами, заранее выбрать допуски и сравнить результаты с синтетической сценой. В данной работе такой эксперимент не выполнялся.</w:t>
      </w:r>
      <w:r/>
    </w:p>
    <w:p>
      <w:pPr>
        <w:pStyle w:val="704"/>
        <w:pBdr/>
        <w:spacing/>
        <w:ind/>
        <w:rPr/>
      </w:pPr>
      <w:r>
        <w:t xml:space="preserve">8. Вывод</w:t>
      </w:r>
      <w:r/>
    </w:p>
    <w:p>
      <w:pPr>
        <w:pBdr/>
        <w:spacing/>
        <w:ind/>
        <w:rPr/>
      </w:pPr>
      <w:r>
        <w:t xml:space="preserve">Гамма-коррекция 0,5 осветлила сцену с сильным шумом и уменьшила контраст. Гистограмма сместилась вправо и стала уже; её энтропия снизилась. По серии из пяти seed все три изменения существенны п</w:t>
      </w:r>
      <w:r>
        <w:t xml:space="preserve">о учебному критерию |Δ|&gt;2s и выходят за практический допуск 5%. Средний PSNR составил 13,42 дБ и подтвердил большое численное отличие от исходного изображения. Воспроизводимость базового массива в текущей среде подтверждена повторным построением и SHA-256.</w:t>
      </w:r>
      <w:r/>
    </w:p>
    <w:p>
      <w:pPr>
        <w:pStyle w:val="704"/>
        <w:pBdr/>
        <w:spacing/>
        <w:ind/>
        <w:rPr/>
      </w:pPr>
      <w:r>
        <w:t xml:space="preserve">9. Паспорт и материалы работы</w:t>
      </w:r>
      <w:r/>
    </w:p>
    <w:p>
      <w:pPr>
        <w:pBdr/>
        <w:spacing/>
        <w:ind/>
        <w:rPr/>
      </w:pPr>
      <w:r>
        <w:t xml:space="preserve">Репозиторий: https://github.com/LeeDef18/AI_creative_tech. Материалы находятся в Лабораторная3; результаты успешного запуска — artifacts/v23_20261012_202210_510. Архив репозитория доступен через Code → Download ZIP после публикации изменений.</w:t>
      </w:r>
      <w:r/>
    </w:p>
    <w:p>
      <w:pPr>
        <w:pBdr/>
        <w:spacing/>
        <w:ind/>
        <w:rPr>
          <w:rFonts w:ascii="Times New Roman" w:hAnsi="Times New Roman" w:cs="Times New Roman"/>
        </w:rPr>
      </w:pPr>
      <w:r>
        <w:t xml:space="preserve">Паспорт passport.toml содержит версии среды, параметры сцены, seed, критерии, контро</w:t>
      </w:r>
      <w:r>
        <w:t xml:space="preserve">льные</w:t>
      </w:r>
      <w:r>
        <w:rPr>
          <w:rFonts w:ascii="Times New Roman" w:hAnsi="Times New Roman" w:eastAsia="Times New Roman" w:cs="Times New Roman"/>
        </w:rPr>
        <w:t xml:space="preserve"> суммы, метрики и PSNR. run.log хранит вывод запуска; series.csv и summary.csv — численные таблицы; histogram.csv — частоты гистограммы. Гипотеза и исправленный скрипт приложены отдельно. Неудачный запуск сохранён в своей папке и в расчёты не включён.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SHA-256 библиотеки в паспорте Engee: acfe83734ecc33366859afeac20ae17db1f7c0100e8e1a8da0bb1c9ca7f7bbcc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SHA-256 локальной библиотеки: cd1622643e7cfe7cc01bb7d8067e4802a76f6a76e9a6833ba4c09c84bb9fa62a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Источник методики: lab3.md и библиотека src/lab03_lib.jl из материалов ЛР 3. Демонстрационные результаты преподавателя не подставлялись вместо измерений варианта 23.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Приложение. Ответы на контрольные вопросы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Объём изображения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256×256×3×8 = 1572864 байта для RGB{Float64}. Для RGB{N0f8}: 196608 байт, в восемь раз меньше.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Различие способов яркости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Различия возникают из-за представления коэффициентов и округления вычислений. Сравнивать нужно максимальную абсолютную разность с допуском, а не требовать одинаковых хешей двух способов.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PSNR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MSE=4×10⁻⁴ PSNR=10log₁₀(2500)≈33,98 дБ. Уменьшение MSE вдвое увеличивает PSNR на 10log₁₀2≈3,01 дБ.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Энтропия после квантования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Четыре бита дают не более 16 уровней. Не более 16 интервалов гистограммы могут иметь ненулевую частоту; максимум энтропии равен log₂16=4 бита.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Малый разброс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Между seed меняется шум, но не геометрия сцены. Агрегированные метрики устойчивы, поэтому небольшое, но постоянное воздействие может превысить 2s.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Два критерия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Условный пример: Δ=0,001 при s=0,0001 и базе 0,5 превышает 2s, но составляет лишь 0,2%. Обратный пример: Δ=0,1 при s=0,1 и базе 0,5 составляет 20%, но не превышает 2s. Это иллюстрации, а не дополнительные измерения.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Гамма и растяжение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Линейное растяжение одинаково масштабирует различия по всему диапазону; гамма-коррекция меняет их нелинейно, в зависимости от исходной яркости. В нашем случае гистограмма сместилась вправо и сузилась.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Уменьшение размера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уменьшении теряются мелкие детали. Обратная интерполяция не восстанавливает исходные значения, поэтому несовпадение после возврата размера закономерно.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Паспорт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Нужны версии Engee, Julia и точные файлы библиотеки и скрипта, параметры сцены и воздействия, seed серии, число интервалов, формулы метрик, критерии, тип массива и контрольные суммы.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Другой seed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Изменится реализация шума, контрольная сумма и немного метрики. Сначала проверяются seed, параметры, версии и повторяемость одного и того же seed; затем сравниваются значения со всей серией.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417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 Mono">
    <w:panose1 w:val="020B06090308040202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 w:after="100" w:line="264" w:lineRule="auto"/>
      <w:ind/>
    </w:pPr>
    <w:rPr>
      <w:rFonts w:ascii="Times New Roman" w:hAnsi="Times New Roman"/>
      <w:sz w:val="24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Вариант 23</dc:title>
  <dc:subject/>
  <dc:creator>Король Алексей Юрьевич</dc:creator>
  <cp:keywords/>
  <dc:description>generated by python-docx</dc:description>
  <cp:revision>2</cp:revision>
  <dcterms:created xsi:type="dcterms:W3CDTF">2013-12-23T23:15:00Z</dcterms:created>
  <dcterms:modified xsi:type="dcterms:W3CDTF">2026-10-12T20:38:16Z</dcterms:modified>
  <cp:category/>
</cp:coreProperties>
</file>