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1CC9F8">
      <w:pPr>
        <w:pBdr/>
        <w:spacing w:line="240" w:lineRule="auto"/>
        <w:ind w:right="0" w:firstLine="0" w:left="432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190" cy="682751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738036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5186" cy="68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.23pt;height:53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D14F81C">
      <w:pPr>
        <w:pStyle w:val="725"/>
        <w:pBdr/>
        <w:spacing/>
        <w:ind w:right="168" w:firstLine="0"/>
        <w:jc w:val="left"/>
        <w:rPr/>
      </w:pPr>
      <w:r>
        <w:rPr>
          <w:spacing w:val="-2"/>
          <w:highlight w:val="none"/>
        </w:rPr>
      </w:r>
      <w:r/>
      <w:r/>
    </w:p>
    <w:p w14:paraId="43952B3F">
      <w:pPr>
        <w:pStyle w:val="725"/>
        <w:pBdr/>
        <w:spacing/>
        <w:ind w:right="168" w:firstLine="0"/>
        <w:jc w:val="left"/>
        <w:rPr>
          <w:spacing w:val="-2"/>
          <w:highlight w:val="none"/>
        </w:rPr>
      </w:pPr>
      <w:r>
        <w:t xml:space="preserve">МИНИСТЕРСТВО</w:t>
      </w:r>
      <w:r>
        <w:rPr>
          <w:spacing w:val="-3"/>
        </w:rPr>
        <w:t xml:space="preserve"> </w:t>
      </w:r>
      <w:r>
        <w:t xml:space="preserve">НАУКИ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ВЫСШЕГО</w:t>
      </w:r>
      <w:r>
        <w:rPr>
          <w:spacing w:val="-3"/>
        </w:rPr>
        <w:t xml:space="preserve"> </w:t>
      </w:r>
      <w:r>
        <w:t xml:space="preserve">ОБРАЗОВАНИЯ</w:t>
      </w:r>
      <w:r>
        <w:rPr>
          <w:spacing w:val="-2"/>
        </w:rPr>
        <w:t xml:space="preserve"> </w:t>
      </w:r>
      <w:r>
        <w:t xml:space="preserve">РОССИЙСКОЙ</w:t>
      </w:r>
      <w:r>
        <w:rPr>
          <w:spacing w:val="-2"/>
        </w:rPr>
        <w:t xml:space="preserve"> ФЕДЕРАЦИИ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4A4DDF89">
      <w:pPr>
        <w:pBdr/>
        <w:spacing w:before="182" w:line="235" w:lineRule="auto"/>
        <w:ind w:right="1460" w:firstLine="0" w:left="1462"/>
        <w:jc w:val="center"/>
        <w:rPr>
          <w:sz w:val="20"/>
        </w:rPr>
      </w:pPr>
      <w:r>
        <w:rPr>
          <w:sz w:val="20"/>
        </w:rPr>
        <w:t xml:space="preserve"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БЮДЖЕТНОЕ ОБРАЗОВАТЕЛЬНОЕ УЧРЕЖДЕНИЕ</w:t>
      </w:r>
      <w:r>
        <w:rPr>
          <w:sz w:val="20"/>
        </w:rPr>
      </w:r>
      <w:r>
        <w:rPr>
          <w:sz w:val="20"/>
        </w:rPr>
      </w:r>
    </w:p>
    <w:p w14:paraId="1176A031">
      <w:pPr>
        <w:pBdr/>
        <w:spacing w:before="2"/>
        <w:ind w:right="1463" w:firstLine="0" w:left="1462"/>
        <w:jc w:val="center"/>
        <w:rPr>
          <w:sz w:val="20"/>
        </w:rPr>
      </w:pPr>
      <w:r>
        <w:rPr>
          <w:sz w:val="20"/>
        </w:rPr>
        <w:t xml:space="preserve"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ОБРАЗОВАНИЯ</w:t>
      </w:r>
      <w:r>
        <w:rPr>
          <w:sz w:val="20"/>
        </w:rPr>
      </w:r>
      <w:r>
        <w:rPr>
          <w:sz w:val="20"/>
        </w:rPr>
      </w:r>
    </w:p>
    <w:p w14:paraId="2F00D5E8">
      <w:pPr>
        <w:pBdr/>
        <w:spacing w:before="0"/>
        <w:ind w:right="1460" w:firstLine="0" w:left="1463"/>
        <w:jc w:val="center"/>
        <w:rPr>
          <w:sz w:val="20"/>
        </w:rPr>
      </w:pPr>
      <w:r>
        <w:rPr>
          <w:sz w:val="20"/>
        </w:rPr>
        <w:t xml:space="preserve"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 xml:space="preserve">(ДГТУ)</w:t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/>
      </w:pPr>
      <w:r>
        <w:br/>
      </w:r>
      <w:r/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</w:rPr>
        <w:t xml:space="preserve">ЛАБОРАТОРНАЯ РАБОТА № 4</w:t>
      </w:r>
      <w:r>
        <w:rPr>
          <w:b/>
          <w:bCs/>
          <w:sz w:val="32"/>
          <w:szCs w:val="32"/>
          <w:highlight w:val="none"/>
        </w:rPr>
      </w:r>
    </w:p>
    <w:p w14:paraId="3AF4A0F6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</w:p>
    <w:p w14:paraId="7B4113ED">
      <w:pPr>
        <w:pBdr/>
        <w:spacing/>
        <w:ind/>
        <w:jc w:val="center"/>
        <w:rPr>
          <w:sz w:val="30"/>
          <w:szCs w:val="30"/>
        </w:rPr>
      </w:pPr>
      <w:r>
        <w:rPr>
          <w:b/>
          <w:sz w:val="30"/>
          <w:szCs w:val="30"/>
        </w:rPr>
        <w:t xml:space="preserve">Вариант 23</w:t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  <w:r>
        <w:rPr>
          <w:sz w:val="30"/>
          <w:szCs w:val="30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Исследование операций обработки изображений в Engee</w:t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Искусственный интеллект в креативных технологиях</w:t>
      </w:r>
      <w:r>
        <w:rPr>
          <w:b w:val="0"/>
          <w:bCs w:val="0"/>
        </w:rPr>
      </w:r>
    </w:p>
    <w:p w14:paraId="60B762E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br/>
        <w:br/>
      </w:r>
      <w:r/>
    </w:p>
    <w:p>
      <w:pPr>
        <w:pBdr/>
        <w:spacing/>
        <w:ind/>
        <w:jc w:val="right"/>
        <w:rPr/>
      </w:pPr>
      <w:r>
        <w:t xml:space="preserve">Выполнил: Король Алексей Юрьевич</w:t>
      </w:r>
      <w:r/>
    </w:p>
    <w:p>
      <w:pPr>
        <w:pBdr/>
        <w:spacing/>
        <w:ind/>
        <w:jc w:val="right"/>
        <w:rPr/>
      </w:pPr>
      <w:r>
        <w:t xml:space="preserve">Группа: Т26ИИКТ-МИМО11</w:t>
      </w:r>
      <w:r/>
    </w:p>
    <w:p>
      <w:pPr>
        <w:pBdr/>
        <w:spacing/>
        <w:ind/>
        <w:jc w:val="right"/>
        <w:rPr/>
      </w:pPr>
      <w:r>
        <w:t xml:space="preserve">Дата выполнения: 13.10.2026</w:t>
      </w:r>
      <w:r/>
    </w:p>
    <w:p w14:paraId="685A7879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8BE0E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1FF06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133A1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B52BD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6FE88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633F1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867D5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ED266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9E570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F69F2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1E140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br/>
        <w:t xml:space="preserve">2026</w:t>
      </w:r>
      <w:r/>
      <w:r>
        <w:br w:type="page" w:clear="all"/>
      </w:r>
      <w:r/>
      <w:r>
        <w:rPr>
          <w:highlight w:val="none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Цель и постановка задачи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Цель раб</w:t>
      </w:r>
      <w:r>
        <w:rPr>
          <w:rFonts w:ascii="Times New Roman" w:hAnsi="Times New Roman" w:eastAsia="Times New Roman" w:cs="Times New Roman"/>
        </w:rPr>
        <w:t xml:space="preserve">оты — оценить пользу предварительного сглаживания при выделении границ оператором Собеля. В варианте 23 исследуется сцена с большим числом границ: круг на градиенте, шахматная добавка и гауссов шум 0,05. Сравнение выполнено по пяти значениям seed: 101–105.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Базовый результат — карта Собеля зашумлённого </w:t>
      </w:r>
      <w:r>
        <w:rPr>
          <w:rFonts w:ascii="Times New Roman" w:hAnsi="Times New Roman" w:eastAsia="Times New Roman" w:cs="Times New Roman"/>
        </w:rPr>
        <w:t xml:space="preserve">изображения. После обработки — карта Собеля того же изображения, предварительно сглаженного фильтром Гаусса с σ=1. Эталон для обеих карт — Собель чистой сцены без сглаживания. PSNR измеряется относительно этого эталона, а не относительно зашумлённой сцены.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Гипотеза и критерии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 запуска предполагалось, что сглаживани</w:t>
      </w:r>
      <w:r>
        <w:rPr>
          <w:rFonts w:ascii="Times New Roman" w:hAnsi="Times New Roman" w:eastAsia="Times New Roman" w:cs="Times New Roman"/>
        </w:rPr>
        <w:t xml:space="preserve">е ослабит ложные границы от шума и увеличит PSNR карты. При этом возможны размытие контура круга и потеря мелких границ шахматной структуры. Ожидалось снижение энергии границ и контраста карты; само по себе это снижение не считалось доказательством пользы.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Практический критерий задан заранее: при ΔPSNR≥+1 дБ операция поле</w:t>
      </w:r>
      <w:r>
        <w:rPr>
          <w:rFonts w:ascii="Times New Roman" w:hAnsi="Times New Roman" w:eastAsia="Times New Roman" w:cs="Times New Roman"/>
        </w:rPr>
        <w:t xml:space="preserve">зна, при ΔPSNR≤−1 дБ — вредна, между этими порогами — нейтральна. ΔPSNR — разность средних PSNR после и до обработки по пяти seed. Порог 1 дБ выбран как учебный допуск: для отдельной пары изображений такой рост соответствует снижению MSE примерно на 20,6%.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трёх метрик отдельно проверяется |Δ|&gt;2s, где s — выборочное стандартное отклонение базовой метрики между seed. Это учебное правило сравнения эффекта с разбросом</w:t>
      </w:r>
      <w:r>
        <w:rPr>
          <w:rFonts w:ascii="Times New Roman" w:hAnsi="Times New Roman" w:eastAsia="Times New Roman" w:cs="Times New Roman"/>
        </w:rPr>
        <w:t xml:space="preserve">, а не формальный тест с заданным p-value. Дополнительно до запуска запланированы пороги ±0,5 и ±2 дБ, проверка сцены без шахматной добавки и воспроизведение демо. Гипотеза сохранена в reports/hypothesis.md; её копия записана в папку запуска до вычислений.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Данные и среда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>
        <w:trPr>
          <w:cantSplit/>
          <w:tblHeader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Engee / Julia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26.9.2-H4 / 1.12.4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Размер и тип массива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128×128, Float64, 131072 байта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Фон / диск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Градиент 0,10–0,40; яркость диска 0,75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Шахматная добавка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0,10; клетка 8 пикселей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Шум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Гауссов, σₙ=0,05; ограничение яркости [0;1]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Seed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101–105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Сглаживание / градиент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Гаусс σ=1 / Собель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11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Обработка края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replicate — продолжение крайних значений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Данные синтетические, внешние изображения не</w:t>
      </w:r>
      <w:r>
        <w:rPr>
          <w:rFonts w:ascii="Times New Roman" w:hAnsi="Times New Roman" w:eastAsia="Times New Roman" w:cs="Times New Roman"/>
        </w:rPr>
        <w:t xml:space="preserve"> использовались. Чистая сцена получена тем же генератором при noise=0. Для seed 101 диапазон зашумлённого массива составил [0; 0,924488]. Изображения сохраняются в PNG с 8 битами на пиксель; численные метрики рассчитываются по массивам Float64 до экспорта.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Использованы библиотеки lab03</w:t>
      </w:r>
      <w:r>
        <w:rPr>
          <w:rFonts w:ascii="Times New Roman" w:hAnsi="Times New Roman" w:eastAsia="Times New Roman" w:cs="Times New Roman"/>
        </w:rPr>
        <w:t xml:space="preserve">_lib.jl и lab04_lib.jl и скрипт LR04_23.jl. Их точные копии сохранены в sources/ вместе с результатами. Контрольные суммы совпадают с паспортом и файлами репозитория. Режим обработки края проверен сравнением вызовов библиотеки с явным параметром replicate.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Ход работы и воспроизводимость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cd("/user/AI_creative_tech/LR04")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include("LR04_23.jl")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result_dir = LR04.run_experiment(engee_version="26.9.2-H4")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Сначала созданы зашумлённая и чистая сцены. Повторная генерация seed 101 дала полностью одинаковые массивы и SHA-256: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edf3c24a4353be4b5c23dddb0efeb1aa40c974dbeeaa41e393985a4bc37c1365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Общи</w:t>
      </w:r>
      <w:r>
        <w:rPr>
          <w:rFonts w:ascii="Times New Roman" w:hAnsi="Times New Roman" w:eastAsia="Times New Roman" w:cs="Times New Roman"/>
        </w:rPr>
        <w:t xml:space="preserve">й коэффициент нормировки равен максимальному модулю градиента чистой сцены: 0,30977413747859966. Каждая карта делится на этот коэффициент, затем значения ограничиваются единицей. Независимая нормировка каждой карты по собственному максимуму не применялась.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каждому seed рассчитаны PSNR относительно эталонной </w:t>
      </w:r>
      <w:r>
        <w:rPr>
          <w:rFonts w:ascii="Times New Roman" w:hAnsi="Times New Roman" w:eastAsia="Times New Roman" w:cs="Times New Roman"/>
        </w:rPr>
        <w:t xml:space="preserve">карты, энергия границ и контраст. Энергия границ вычисляется функцией edge_energy от полученной карты, как в variant_summary4: это средний модуль градиента карты, а не просто среднее её значений. Контраст — выборочное стандартное отклонение значений карты.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Сводные результаты сверены с varia</w:t>
      </w:r>
      <w:r>
        <w:rPr>
          <w:rFonts w:ascii="Times New Roman" w:hAnsi="Times New Roman" w:eastAsia="Times New Roman" w:cs="Times New Roman"/>
        </w:rPr>
        <w:t xml:space="preserve">nt_summary4(23). Скрипт завершился с RESULT: PASS. После переноса артефактов отдельно проверены формула PSNR по MSE, статистика серии, практическая классификация, контрольные суммы и размер изображений. Повторная генерация массивов локально не выполнялась.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Визуальное сравнение</w:t>
      </w:r>
      <w:r>
        <w:rPr>
          <w:rFonts w:ascii="Times New Roman" w:hAnsi="Times New Roman" w:eastAsia="Times New Roman" w:cs="Times New Roman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>
          <w:cantSplit/>
        </w:trPr>
        <w:tc>
          <w:tcPr>
            <w:tcBorders/>
            <w:tcW w:w="3213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72000" cy="187200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noisy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72000" cy="187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47.40pt;height:147.4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213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72000" cy="1872000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moothed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72000" cy="187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47.40pt;height:147.4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213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72000" cy="1872000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clean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72000" cy="187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47.40pt;height:147.4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1 — зашумлённая сцена, сцена после Гаусса и чистая сцена (слева направо), seed 101.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После сглаживания зернистость становится слабее, но края шахматных клеток и круга размываются. На чистой сцене сетка имеет чёткие переходы яркости; сглаженная сцена сохраняет общую структуру, но выглядит мягче.</w:t>
      </w:r>
      <w:r>
        <w:rPr>
          <w:rFonts w:ascii="Times New Roman" w:hAnsi="Times New Roman" w:eastAsia="Times New Roman" w:cs="Times New Roman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>
          <w:cantSplit/>
        </w:trPr>
        <w:tc>
          <w:tcPr>
            <w:tcBorders/>
            <w:tcW w:w="3213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72000" cy="1872000"/>
                      <wp:effectExtent l="0" t="0" r="0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edges_befor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72000" cy="187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47.40pt;height:147.4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213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72000" cy="1872000"/>
                      <wp:effectExtent l="0" t="0" r="0" b="0"/>
                      <wp:docPr id="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edges_aft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72000" cy="187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47.40pt;height:147.4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213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72000" cy="1872000"/>
                      <wp:effectExtent l="0" t="0" r="0" b="0"/>
                      <wp:docPr id="7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edges_referenc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72000" cy="187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47.40pt;height:147.4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2 — Собель без сглаживания, Собель после Гаусса и эталонная карта (слева направо). Масштаб яркости общий.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Без сглаживания в карте видны многочисленные слабые шумовые границы, в том числе внутр</w:t>
      </w:r>
      <w:r>
        <w:rPr>
          <w:rFonts w:ascii="Times New Roman" w:hAnsi="Times New Roman" w:eastAsia="Times New Roman" w:cs="Times New Roman"/>
        </w:rPr>
        <w:t xml:space="preserve">и круга. После Гаусса они ослабевают, но круговой контур становится шире и менее ярким. Шахматная сетка приглушается, местами выглядит менее отчётливой, чем в эталоне. Это показывает одновременно выигрыш от подавления шума и цену размытия настоящих границ.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Результаты серии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База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 базы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После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21,176076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0,109577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23,251986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2,075910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Энергия границ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0,052220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0,000535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0,030386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-0,021834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Контраст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0,113547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0,000935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0,076179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-0,037367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>
        <w:trPr>
          <w:cantSplit/>
          <w:tblHeader/>
        </w:trPr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|Δ|/s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|Δ|&gt;2s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18,94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Энергия границ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40,82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Контраст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39,96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2721"/>
        <w:gridCol w:w="2721"/>
        <w:gridCol w:w="2778"/>
      </w:tblGrid>
      <w:tr>
        <w:trPr>
          <w:cantSplit/>
          <w:tblHeader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Seed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PSNR базы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PSNR после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7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ΔPSNR,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21,1049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23,2649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7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2,1600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21,0854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23,2312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7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2,1458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21,1825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23,2174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7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2,0350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21,3601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23,3214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7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1,9612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21,1475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23,2250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7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2,0775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Средний PSNR карты вырос с 21,176076 до 23,251986 </w:t>
      </w:r>
      <w:r>
        <w:rPr>
          <w:rFonts w:ascii="Times New Roman" w:hAnsi="Times New Roman" w:eastAsia="Times New Roman" w:cs="Times New Roman"/>
        </w:rPr>
        <w:t xml:space="preserve">дБ; прирост составил 2,075910 дБ. Это больше +1 дБ, поэтому операция полезна для данной сцены по принятому критерию. Каждый из пяти seed также дал прирост больше 1 дБ. Средний PSNR рассчитан как среднее индивидуальных значений в дБ, а не через среднее MSE.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Энергия границ снизилась на 41,81%, контраст — на 32,91%. Все три изменения превышают 2s. Снижение энергии и контраста согласуется с визуальным ослаблением шума и размытием границ, но не позволяет разделить эти эффекты без сравнения с эталоном.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Дополнительные проверки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PSNR самой зашумлённой сцены относительно чистой в среднем равен 26,024119 дБ. Теоретическая оценка −20log₁</w:t>
      </w:r>
      <w:r>
        <w:rPr>
          <w:rFonts w:ascii="Times New Roman" w:hAnsi="Times New Roman" w:eastAsia="Times New Roman" w:cs="Times New Roman"/>
        </w:rPr>
        <w:t xml:space="preserve">₀(0,05)=26,020600 дБ отличается на 0,003519 дБ. Близость подтверждает ожидаемый масштаб шума; точного равенства не требуется из-за конечного числа отсчётов и ограничения яркости. Эти значения относятся к сцене до Собеля, а не к оценке качества карт границ.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>
        <w:trPr>
          <w:cantSplit/>
          <w:tblHeader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Практический порог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Классификация среднего ΔPSNR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±0,5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Полезна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 дБ — основной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Полезна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±2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Полезна; запас около 0,076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пороге ±2 дБ средний прирост проходит гра</w:t>
      </w:r>
      <w:r>
        <w:rPr>
          <w:rFonts w:ascii="Times New Roman" w:hAnsi="Times New Roman" w:eastAsia="Times New Roman" w:cs="Times New Roman"/>
        </w:rPr>
        <w:t xml:space="preserve">ницу лишь с небольшим запасом. Для seed 104 прирост составляет около 1,961 дБ и по этому более строгому порогу был бы нейтральным. Поэтому устойчивость классификации среднего по выбранным порогам не означает, что каждый отдельный запуск одинаково устойчив.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685"/>
        <w:gridCol w:w="1984"/>
        <w:gridCol w:w="1984"/>
        <w:gridCol w:w="1984"/>
      </w:tblGrid>
      <w:tr>
        <w:trPr>
          <w:cantSplit/>
          <w:tblHeader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Сцена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PSNR базы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PSNR после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ΔPSNR,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С шахматной добавкой, вариант 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21,1761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23,2520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2,0759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Без шахматной добавки, вариант 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20,4585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24,2222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3,7638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Без шахматной добавки при том же шуме выигрыш больше: 3,763758 дБ против 2,075910 д</w:t>
      </w:r>
      <w:r>
        <w:rPr>
          <w:rFonts w:ascii="Times New Roman" w:hAnsi="Times New Roman" w:eastAsia="Times New Roman" w:cs="Times New Roman"/>
        </w:rPr>
        <w:t xml:space="preserve">Б. Это согласуется с предположением, что дополнительные реальные границы повышают цену сглаживания. Для каждой сцены использованы собственная чистая карта и её коэффициент нормировки; сравнение не доказывает универсальной зависимости для любых изображений.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Демонстрационный вариант 1 воспроизведён: средние базовые значения, s и средние после обработки совпали с опубликованн</w:t>
      </w:r>
      <w:r>
        <w:rPr>
          <w:rFonts w:ascii="Times New Roman" w:hAnsi="Times New Roman" w:eastAsia="Times New Roman" w:cs="Times New Roman"/>
        </w:rPr>
        <w:t xml:space="preserve">ыми числами преподавателя в пределах atol=rtol=10⁻⁹. Результат проверки demo_match=true сохранён в паспорте. В демо усреднение 5×5 при слабом шуме ухудшает PSNR; это дополнительно показывает, почему вывод о пользе нельзя переносить на все операции и сцены.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Ограничения и вывод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Исследованы пять seed, одна основная сцена, один параметр Гаусса и одна дополнительная сцена. Разброс между seed отражает изменение шума, но не разнообразие реа</w:t>
      </w:r>
      <w:r>
        <w:rPr>
          <w:rFonts w:ascii="Times New Roman" w:hAnsi="Times New Roman" w:eastAsia="Times New Roman" w:cs="Times New Roman"/>
        </w:rPr>
        <w:t xml:space="preserve">льных изображений. Критерий 2s показывает величину эффекта относительно разброса и сам по себе не различает пользу и вред. PSNR оценивает численное совпадение с заданным эталоном, а не качество восприятия или пригодность границ для любой дальнейшей задачи.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Гипотеза подтвердилась: предварительное сглаживание улучшило соответствие карты Собеля эталону, несмотря на размытие настоящих границ. При шуме 0,05 и шахма</w:t>
      </w:r>
      <w:r>
        <w:rPr>
          <w:rFonts w:ascii="Times New Roman" w:hAnsi="Times New Roman" w:eastAsia="Times New Roman" w:cs="Times New Roman"/>
        </w:rPr>
        <w:t xml:space="preserve">тной структуре прирост PSNR составил 2,08 дБ, поэтому по допуску +1 дБ операция полезна. Одновременно снизились энергия границ и контраст. Результат относится к выбранной сцене, нормировке и σ=1; утверждение «сглаживание всегда полезно» из него не следует.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Паспорт и материалы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Репозиторий: https://github.com/LeeDef18/AI_creative_tech. Рабочая папка — Лабораторная4. Результаты запуска сохранены в artifacts/v23_20261013_184608_442. После публикации изменений архив доступен через Code → Download ZIP.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passport.toml содержит версии Engee и Julia, параметры сцены и операции, seed, нормировку, обработку края, критерии, метрики, классификацию и кон</w:t>
      </w:r>
      <w:r>
        <w:rPr>
          <w:rFonts w:ascii="Times New Roman" w:hAnsi="Times New Roman" w:eastAsia="Times New Roman" w:cs="Times New Roman"/>
        </w:rPr>
        <w:t xml:space="preserve">трольные суммы. run.log хранит вывод; series.csv и summary.csv — измерения и сводку; sensitivity.csv — проверку допусков. Дополнительные сцены сохранены отдельно в neighbor11_summary.csv и demo1_summary.csv. sources/ содержит использованные исходные файлы.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Источники: методические указания lab4.md; библиотеки lab03_lib.jl и lab04_lib.jl; демонстрационный журнал demo_journal/engee_run_log.md. Описание обработки края: https://juliaimages.org/ImageFiltering.jl/latest/function_reference.html.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Приложение. Контрольные вопросы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Оценка PSNR шума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σₙ=0,05 получаем −20log₁₀0,05≈26,02 дБ. Для 0,10 — 20 дБ, примерно на 6,02 дБ ниже.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Гаусс и усреднение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Усредняющий фильтр использует одинаковые веса в окне. В гауссовом ядре веса плавно уменьшаются с расстоянием от центра. Рост σ усиливает сглаживание и расширяет переходы на границах; сохранение деталей зависит от выбранных параметров.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Зависимость пользы от шума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Сглаживание подавляет шум, но размывает реальные детали. При слабом шуме потеря деталей может преобладать; при сильном выигрыш от подавления шума обычно больше. Проверка проводится относительно чистого эталона.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Эталон Собеля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Сначала строится чистая сцена, затем её модуль градиента Собеля. База, результат и эталон делятся на общий максимум градиента чистой сцены с ограничением единицей. Так сохраняется единый масштаб сравнения.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Сглаживание перед Собелем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Оно ослабляет ложные границы от высокочастотного шума. Энергия границ обычно снижается, но часть снижения может быть вызвана потерей настоящих границ. Поэтому требуется эталон.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Открытие и закрытие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Открытие — эрозия, затем дилатация; оно удаляет небольшие светлые объекты и тонкие выступы. Закрытие — дилатация, затем эрозия; оно заполняет небольшие тёмные отверстия и разрывы. Результат зависит от структурного элемента.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IoU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Объединение содержит 3000+3200−2900=3300 пикселей. IoU=2900/3300≈0,879. В основном эксперименте варианта 23 IoU не рассчитывается, поскольку сравниваются карты границ, а не бинарные маски.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Критерий 2s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Структура сцены не меняется, варьируется только шум, поэтому разброс агрегированных метрик мал. Операция может заметно изменить метрики и при этом ухудшить результат; практический вывод определяется направлением и величиной ΔPSNR.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Устойчивость методики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Можно увеличить число seed, сравнить несколько уровней шума и структур сцены, проверить несколько заранее выбранных порогов и добавить оценку локализации границ. В работе проверены дополнительные пороги и сцена без шахматной добавки.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Паспорт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Нужны версии среды и языка, точные исходные файлы, размер и параметры сцены, seed, σ Гаусса, оператор градиента, режим обработки края, определение эталона, общий коэффициент нормировки, ограничение значений, формулы метрик и критерии.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417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 w:after="100" w:line="259" w:lineRule="auto"/>
      <w:ind/>
    </w:pPr>
    <w:rPr>
      <w:rFonts w:ascii="Times New Roman" w:hAnsi="Times New Roman"/>
      <w:sz w:val="24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Вариант 23</dc:title>
  <dc:subject/>
  <dc:creator>Король Алексей Юрьевич</dc:creator>
  <cp:keywords/>
  <dc:description>generated by python-docx</dc:description>
  <cp:revision>2</cp:revision>
  <dcterms:created xsi:type="dcterms:W3CDTF">2013-12-23T23:15:00Z</dcterms:created>
  <dcterms:modified xsi:type="dcterms:W3CDTF">2026-10-13T18:58:26Z</dcterms:modified>
  <cp:category/>
</cp:coreProperties>
</file>