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8F3E8F">
      <w:pPr>
        <w:pBdr/>
        <w:spacing w:line="240" w:lineRule="auto"/>
        <w:ind w:right="0" w:firstLine="0" w:left="432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5190" cy="682751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393438" name="Image 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25188" cy="68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.23pt;height:53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1E13ADF8">
      <w:pPr>
        <w:pStyle w:val="725"/>
        <w:pBdr/>
        <w:spacing/>
        <w:ind w:right="168" w:firstLine="0"/>
        <w:jc w:val="left"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 w14:paraId="0D3321C6">
      <w:pPr>
        <w:pStyle w:val="725"/>
        <w:pBdr/>
        <w:spacing/>
        <w:ind w:right="168" w:firstLine="0"/>
        <w:jc w:val="left"/>
        <w:rPr>
          <w:spacing w:val="-2"/>
          <w:highlight w:val="none"/>
        </w:rPr>
      </w:pPr>
      <w:r>
        <w:t xml:space="preserve">МИНИСТЕРСТВО</w:t>
      </w:r>
      <w:r>
        <w:rPr>
          <w:spacing w:val="-3"/>
        </w:rPr>
        <w:t xml:space="preserve"> </w:t>
      </w:r>
      <w:r>
        <w:t xml:space="preserve">НАУКИ</w:t>
      </w:r>
      <w:r>
        <w:rPr>
          <w:spacing w:val="-2"/>
        </w:rPr>
        <w:t xml:space="preserve"> </w:t>
      </w:r>
      <w:r>
        <w:t xml:space="preserve">И</w:t>
      </w:r>
      <w:r>
        <w:rPr>
          <w:spacing w:val="-1"/>
        </w:rPr>
        <w:t xml:space="preserve"> </w:t>
      </w:r>
      <w:r>
        <w:t xml:space="preserve">ВЫСШЕГО</w:t>
      </w:r>
      <w:r>
        <w:rPr>
          <w:spacing w:val="-3"/>
        </w:rPr>
        <w:t xml:space="preserve"> </w:t>
      </w:r>
      <w:r>
        <w:t xml:space="preserve">ОБРАЗОВАНИЯ</w:t>
      </w:r>
      <w:r>
        <w:rPr>
          <w:spacing w:val="-2"/>
        </w:rPr>
        <w:t xml:space="preserve"> </w:t>
      </w:r>
      <w:r>
        <w:t xml:space="preserve">РОССИЙСКОЙ</w:t>
      </w:r>
      <w:r>
        <w:rPr>
          <w:spacing w:val="-2"/>
        </w:rPr>
        <w:t xml:space="preserve"> ФЕДЕРАЦИИ</w:t>
      </w:r>
      <w:r/>
      <w:r/>
    </w:p>
    <w:p w14:paraId="6FA027FC">
      <w:pPr>
        <w:pBdr/>
        <w:spacing w:before="182" w:line="235" w:lineRule="auto"/>
        <w:ind w:right="1460" w:firstLine="0" w:left="1462"/>
        <w:jc w:val="center"/>
        <w:rPr>
          <w:sz w:val="20"/>
        </w:rPr>
      </w:pPr>
      <w:r>
        <w:rPr>
          <w:sz w:val="20"/>
        </w:rPr>
        <w:t xml:space="preserve">ФЕДЕРАЛЬНОЕ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ГОСУДАРСТВЕННОЕ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БЮДЖЕТНОЕ ОБРАЗОВАТЕЛЬНОЕ УЧРЕЖДЕНИЕ</w:t>
      </w:r>
      <w:r>
        <w:rPr>
          <w:sz w:val="20"/>
        </w:rPr>
      </w:r>
      <w:r>
        <w:rPr>
          <w:sz w:val="20"/>
        </w:rPr>
      </w:r>
    </w:p>
    <w:p w14:paraId="3CDB7DBC">
      <w:pPr>
        <w:pBdr/>
        <w:spacing w:before="2"/>
        <w:ind w:right="1463" w:firstLine="0" w:left="1462"/>
        <w:jc w:val="center"/>
        <w:rPr>
          <w:sz w:val="20"/>
        </w:rPr>
      </w:pPr>
      <w:r>
        <w:rPr>
          <w:sz w:val="20"/>
        </w:rPr>
        <w:t xml:space="preserve">ВЫСШЕГО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ОБРАЗОВАНИЯ</w:t>
      </w:r>
      <w:r>
        <w:rPr>
          <w:sz w:val="20"/>
        </w:rPr>
      </w:r>
      <w:r>
        <w:rPr>
          <w:sz w:val="20"/>
        </w:rPr>
      </w:r>
    </w:p>
    <w:p w14:paraId="25825CED">
      <w:pPr>
        <w:pBdr/>
        <w:spacing w:before="0"/>
        <w:ind w:right="1460" w:firstLine="0" w:left="1463"/>
        <w:jc w:val="center"/>
        <w:rPr>
          <w:sz w:val="20"/>
        </w:rPr>
      </w:pPr>
      <w:r>
        <w:rPr>
          <w:sz w:val="20"/>
        </w:rPr>
        <w:t xml:space="preserve">«ДОНСКОЙ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ГОСУДАРСТВЕННЫЙ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ТЕХНИЧЕСКИЙ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УНИВЕРСИТЕТ» </w:t>
      </w:r>
      <w:r>
        <w:rPr>
          <w:spacing w:val="-2"/>
          <w:sz w:val="20"/>
        </w:rPr>
        <w:t xml:space="preserve">(ДГТУ)</w:t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ЛАБОРАТОРНАЯ РАБОТА № 2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147B2CE3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sz w:val="32"/>
          <w:szCs w:val="32"/>
          <w:highlight w:val="none"/>
        </w:rPr>
      </w:r>
    </w:p>
    <w:p w14:paraId="2EBE3763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Вариант 23</w:t>
      </w: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Карточка модели, лицензии, происхождение данных и анализ рисков</w:t>
      </w:r>
      <w:r>
        <w:rPr>
          <w:rFonts w:ascii="Times New Roman" w:hAnsi="Times New Roman" w:eastAsia="Times New Roman" w:cs="Times New Roman"/>
          <w:b w:val="0"/>
          <w:bCs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Искусственный интеллект в креативных технологиях</w:t>
      </w:r>
      <w:r>
        <w:rPr>
          <w:rFonts w:ascii="Times New Roman" w:hAnsi="Times New Roman" w:eastAsia="Times New Roman" w:cs="Times New Roman"/>
          <w:b w:val="0"/>
          <w:bCs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/>
        <w:br/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Выполнил: Король Алексей Юрьевич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Группа: Т26ИИКТ-МИМО11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Дата выполнения: 11.10.2026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/>
        <w:br/>
      </w:r>
      <w:r>
        <w:rPr>
          <w:rFonts w:ascii="Times New Roman" w:hAnsi="Times New Roman" w:eastAsia="Times New Roman" w:cs="Times New Roman"/>
        </w:rPr>
      </w:r>
    </w:p>
    <w:p w14:paraId="3F4C7B05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7FE2B7D1"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A765CEF"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263EEEE"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6BD5BD62"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413EA90B"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455CC63D"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512ECD97"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7027EE37"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58D9918"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1B74F316"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450C197B">
      <w:pPr>
        <w:pBdr/>
        <w:spacing/>
        <w:ind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98FE7B1"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2026</w:t>
      </w: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/>
        <w:ind w:right="0" w:firstLine="709" w:left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1. Цель и постановка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Цель — проверить происхождение и условия использования учебных данных, принять решения по найденным проблемам, составить паспорт набора, карточку модели и реестр рисков.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2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варианта 23 задан внутренний некоммерческий прототип без публикации. Основной профиль дефектов — персональные данные и разные виды согласий. Создавать сам прототип не требуется.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>
        <w:trPr>
          <w:cantSplit/>
          <w:tblHeader/>
        </w:trPr>
        <w:tc>
          <w:tcPr>
            <w:tcBorders/>
            <w:tcW w:w="3402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Поле политики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commercial_use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false — коммерческого использования нет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redistribution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false — публикации и передачи набора нет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derivatives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true — производные создаются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share_alike_acceptable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true — условие ShareAlike допустимо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after="0"/>
        <w:ind w:right="0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20" w:left="0"/>
        <w:jc w:val="both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Критерии выполнения: решение и обос</w:t>
      </w:r>
      <w:r>
        <w:rPr>
          <w:rFonts w:ascii="Times New Roman" w:hAnsi="Times New Roman" w:eastAsia="Times New Roman" w:cs="Times New Roman"/>
        </w:rPr>
        <w:t xml:space="preserve">нование для каждой находки, семь заполненных разделов паспорта данных, девять разделов карточки модели, не менее пяти рисков из минимум четырёх категорий и RESULT: PASS. Для варианта обязательны Information Security и Value Chain and Component Integration.</w:t>
      </w:r>
      <w:r>
        <w:rPr>
          <w:rFonts w:ascii="Times New Roman" w:hAnsi="Times New Roman" w:cs="Times New Roman"/>
        </w:rPr>
      </w:r>
    </w:p>
    <w:p w14:paraId="542430D6"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170" w:afterAutospacing="0"/>
        <w:ind w:right="0" w:firstLine="709" w:left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2. Данные и ожидания до аудита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Набор состоит из 12 синтетических записей: по четыре а</w:t>
      </w:r>
      <w:r>
        <w:rPr>
          <w:rFonts w:ascii="Times New Roman" w:hAnsi="Times New Roman" w:eastAsia="Times New Roman" w:cs="Times New Roman"/>
        </w:rPr>
        <w:t xml:space="preserve">удио, изображения и текста. Имена файлов, адреса example.org, правообладатели и даты вымышленные. Сами медиаматериалы и документы-согласия не создавались и не загружались. SHA-256 получен от условных строк; он не подтверждает существование реального файла.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метаданных четыре записи с personal_data=yes. У item01 и item09 указано document, у item04 — none, у item07 — n-a. У item08 отсутствует правообладатель. Лицензии представлены идентификаторами из учебного каталога.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Ожидания записаны после чтения манифеста и до первого запуска аудита, 202</w:t>
      </w:r>
      <w:r>
        <w:rPr>
          <w:rFonts w:ascii="Times New Roman" w:hAnsi="Times New Roman" w:eastAsia="Times New Roman" w:cs="Times New Roman"/>
        </w:rPr>
        <w:t xml:space="preserve">6-10-11T22:37:49+03:00. Ожидались две ошибки R6 для item04 и item07 и одно предупреждение R10 для item08. R7 для item01 и item09 не ожидалось, потому что публикация выключена. При этом содержание согласий оставалось неизвестным и требовало ручного решения.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Порядок подтверждён записью ожиданий (expectations.md), её контрольной суммой в снимке среды (environment.json) и временными отметками журнала команд (commands.jsonl). Это локальный журнал, а не внешняя доверенная отметка времени.</w:t>
      </w:r>
      <w:r>
        <w:rPr>
          <w:rFonts w:ascii="Times New Roman" w:hAnsi="Times New Roman" w:cs="Times New Roman"/>
        </w:rPr>
      </w:r>
    </w:p>
    <w:p w14:paraId="0F1E484A"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170" w:afterAutospacing="0"/>
        <w:ind w:right="0" w:firstLine="709" w:left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3. Среда и процедура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Работа выполнена в отдельной папке Лабораторная2 и </w:t>
      </w:r>
      <w:r>
        <w:rPr>
          <w:rFonts w:ascii="Times New Roman" w:hAnsi="Times New Roman" w:eastAsia="Times New Roman" w:cs="Times New Roman"/>
        </w:rPr>
        <w:t xml:space="preserve">собственной .venv. Использован CPython 3.14.4, Linux-7.0.0-34-generic-x86_64-with-glibc2.43. Для экспериментальных скриптов сторонние пакеты не нужны; requirements.txt пуст. Оформление DOCX выполняется отдельным инструментом и не меняет зависимости аудита.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Пять скрипт</w:t>
      </w:r>
      <w:r>
        <w:rPr>
          <w:rFonts w:ascii="Times New Roman" w:hAnsi="Times New Roman" w:eastAsia="Times New Roman" w:cs="Times New Roman"/>
        </w:rPr>
        <w:t xml:space="preserve">ов преподавателя сохранены без изменений. Их SHA-256 записаны в environment.json. Из ЛР 1 использована неизменённая копия паспорта варианта 23: inputs/lr01_passport.json. Лицензия исходного учебного кода — MIT.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Основные команды из папки Лабораторная2:</w:t>
      </w:r>
      <w:r>
        <w:rPr>
          <w:rFonts w:ascii="Times New Roman" w:hAnsi="Times New Roman" w:eastAsia="Times New Roman" w:cs="Times New Roman"/>
        </w:rPr>
      </w:r>
    </w:p>
    <w:p>
      <w:pPr>
        <w:pStyle w:val="863"/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python3 -m venv .venv</w:t>
      </w:r>
      <w:r>
        <w:rPr>
          <w:rFonts w:ascii="Times New Roman" w:hAnsi="Times New Roman" w:eastAsia="Times New Roman" w:cs="Times New Roman"/>
        </w:rPr>
      </w:r>
    </w:p>
    <w:p>
      <w:pPr>
        <w:pStyle w:val="863"/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.venv/bin/python src/lab02_make_variant.py --variant 23 --out artifacts/v23</w:t>
      </w:r>
      <w:r>
        <w:rPr>
          <w:rFonts w:ascii="Times New Roman" w:hAnsi="Times New Roman" w:cs="Times New Roman"/>
        </w:rPr>
      </w:r>
    </w:p>
    <w:p w14:paraId="416F33E0">
      <w:pPr>
        <w:pStyle w:val="863"/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 w:right="0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После генерации записаны ожидания, затем выполнен аудит:</w:t>
      </w:r>
      <w:r>
        <w:rPr>
          <w:rFonts w:ascii="Times New Roman" w:hAnsi="Times New Roman" w:eastAsia="Times New Roman" w:cs="Times New Roman"/>
        </w:rPr>
      </w:r>
    </w:p>
    <w:p>
      <w:pPr>
        <w:pStyle w:val="863"/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.venv/bin/python src/lab02_audit.py \</w:t>
      </w:r>
      <w:r>
        <w:rPr>
          <w:rFonts w:ascii="Times New Roman" w:hAnsi="Times New Roman" w:eastAsia="Times New Roman" w:cs="Times New Roman"/>
        </w:rPr>
      </w:r>
    </w:p>
    <w:p>
      <w:pPr>
        <w:pStyle w:val="863"/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--manifest artifacts/v23/manifest.csv \</w:t>
      </w:r>
      <w:r>
        <w:rPr>
          <w:rFonts w:ascii="Times New Roman" w:hAnsi="Times New Roman" w:eastAsia="Times New Roman" w:cs="Times New Roman"/>
        </w:rPr>
      </w:r>
    </w:p>
    <w:p>
      <w:pPr>
        <w:pStyle w:val="863"/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--policy artifacts/v23/policy.json \</w:t>
      </w:r>
      <w:r>
        <w:rPr>
          <w:rFonts w:ascii="Times New Roman" w:hAnsi="Times New Roman" w:eastAsia="Times New Roman" w:cs="Times New Roman"/>
        </w:rPr>
      </w:r>
    </w:p>
    <w:p>
      <w:pPr>
        <w:pStyle w:val="863"/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  --out artifacts/v23/audit_original</w:t>
      </w:r>
      <w:r>
        <w:rPr>
          <w:rFonts w:ascii="Times New Roman" w:hAnsi="Times New Roman" w:cs="Times New Roman"/>
        </w:rPr>
      </w:r>
    </w:p>
    <w:p w14:paraId="7C9DE0E5">
      <w:pPr>
        <w:pStyle w:val="863"/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Фактический вывод: «объектов 12; ошибок 2; предупреждений 1». Полные команды, выводы и коды возврата сохранены в run.log. Код возврата аудита равен 0 даже при находках: это успешное выполнение программы, а не отсутствие проблем.</w:t>
      </w:r>
      <w:r>
        <w:rPr>
          <w:rFonts w:ascii="Times New Roman" w:hAnsi="Times New Roman" w:cs="Times New Roman"/>
        </w:rPr>
      </w:r>
    </w:p>
    <w:p w14:paraId="7E9E1362"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170" w:afterAutospacing="0"/>
        <w:ind w:right="0" w:firstLine="709" w:left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4. Результаты аудита и решения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 w:right="0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Ожидания совпали с автоматическими находками.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64"/>
        <w:gridCol w:w="1191"/>
        <w:gridCol w:w="2041"/>
        <w:gridCol w:w="5443"/>
      </w:tblGrid>
      <w:tr>
        <w:trPr>
          <w:cantSplit/>
          <w:tblHeader/>
        </w:trPr>
        <w:tc>
          <w:tcPr>
            <w:tcBorders/>
            <w:tcW w:w="964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Объект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91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Правило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041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Уровень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443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Решение и основание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964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item04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91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041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Ошибка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443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Не включать в рабочий поднабор; запросить основание обработки. personal_data=yes при consent=none. В учебной модели документа-согласия нет; отсутствие публикации не устраняет R6.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964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item07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91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041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Ошибка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443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Не включать в рабочий поднабор; уточнить согласие. personal_data=yes при consent=n-a. Значение «не применимо» не подтверждает документ; по догадке менять его на document нельзя.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964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item08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91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041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Предупреждение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443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Отложить до установления правообладателя. Записана MIT, но rights_holder пуст. Нельзя подтвердить атрибуцию и источник разрешения. Нестандартные или пропущенные сведения не дополняются догадкой.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after="0"/>
        <w:ind w:right="0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2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Дополнительно рассмотрены item01 и item09: слово document не позволяет проверить содержание документа. Оба объекта о</w:t>
      </w:r>
      <w:r>
        <w:rPr>
          <w:rFonts w:ascii="Times New Roman" w:hAnsi="Times New Roman" w:eastAsia="Times New Roman" w:cs="Times New Roman"/>
        </w:rPr>
        <w:t xml:space="preserve">тложены до проверки относимости, цели обработки, допустимых изменений, доступа, срока и порядка отзыва. Поскольку публикация не планируется, разрешение на публикацию не предъявляется как требование к текущему сценарию; оно проверяется перед его изменением.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Инженерное решение — не включать пять спорных записей в рабочий поднабор. В карантине </w:t>
      </w:r>
      <w:r>
        <w:rPr>
          <w:rFonts w:ascii="Times New Roman" w:hAnsi="Times New Roman" w:eastAsia="Times New Roman" w:cs="Times New Roman"/>
        </w:rPr>
        <w:t xml:space="preserve">находятся item01, item04, item07, item08 и item09. Остались семь кандидатов: item02, item03, item05, item06, item10, item11 и item12. Для них также зафиксированы основания решений. Карантин сохраняет исходную запись и не означает её безвозвратное удаление.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Исходный man</w:t>
      </w:r>
      <w:r>
        <w:rPr>
          <w:rFonts w:ascii="Times New Roman" w:hAnsi="Times New Roman" w:eastAsia="Times New Roman" w:cs="Times New Roman"/>
        </w:rPr>
        <w:t xml:space="preserve">ifest.csv не изменялся. Рабочий и карантинный манифесты различаются только составом записей. Полный список решений находится в decisions.csv (../artifacts/v23/decisions.csv), решения по находкам — в audit_decisions.md (../artifacts/v23/audit_decisions.md).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Согласия и разрешения у реальных лиц не запрашивались: набор вымышленный. Запрос документов здесь — сформулированный следующий шаг для реального проекта, а не выполненное действие.</w:t>
      </w:r>
      <w:r>
        <w:rPr>
          <w:rFonts w:ascii="Times New Roman" w:hAnsi="Times New Roman" w:cs="Times New Roman"/>
        </w:rPr>
      </w:r>
    </w:p>
    <w:p w14:paraId="6BB3D4CD"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170" w:afterAutospacing="0"/>
        <w:ind w:right="0" w:firstLine="709" w:left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5. Дополнительные проверки и пределы автоматики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После записи отдельного плана выполнены две проверки состава и политики.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2"/>
        <w:gridCol w:w="1020"/>
        <w:gridCol w:w="1757"/>
        <w:gridCol w:w="3458"/>
      </w:tblGrid>
      <w:tr>
        <w:trPr>
          <w:cantSplit/>
          <w:tblHeader/>
        </w:trPr>
        <w:tc>
          <w:tcPr>
            <w:tcBorders/>
            <w:tcW w:w="3402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Проверка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Ошибки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Предупреждения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458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Объяснение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Исходные 12 записей, внутренний сценарий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458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R6 для item04 и item07; R10 для item08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Рабочие 7 записей, тот же сценарий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458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Спорные записи не включены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Исходные 12 записей, redistribution=true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57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458" w:type="dxa"/>
          </w:tcPr>
          <w:p>
            <w:pPr>
              <w:pBdr/>
              <w:spacing w:after="60" w:before="60" w:line="240" w:lineRule="auto"/>
              <w:ind w:right="0" w:firstLine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Дополнительно R7 для item01 и item09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after="0"/>
        <w:ind w:right="0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Последняя проверка — диагностический сценарий: исходная политика варианта остаётся прежней. Результат показывает, что молчание R7 зависит от флага публикации, а не от качества согласия.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Нулевое число находок означает л</w:t>
      </w:r>
      <w:r>
        <w:rPr>
          <w:rFonts w:ascii="Times New Roman" w:hAnsi="Times New Roman" w:eastAsia="Times New Roman" w:cs="Times New Roman"/>
        </w:rPr>
        <w:t xml:space="preserve">ишь отсутствие противоречий по записанным данным и десяти правилам. Программа не проверяет существование источника, подлинность лицензии, содержание согласия, полномочия подписанта, срок действия, достоверность признака personal_data или фактические файлы.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Лицензия входного материала, лицензия кода/весов модели и права на результат рассматриваются раздельно. Creative Commons также указывает, что иные права могут ограничивать использо</w:t>
      </w:r>
      <w:r>
        <w:rPr>
          <w:rFonts w:ascii="Times New Roman" w:hAnsi="Times New Roman" w:eastAsia="Times New Roman" w:cs="Times New Roman"/>
        </w:rPr>
        <w:t xml:space="preserve">вание материала; запись лицензии не заменяет проверку личных прав [4]. В реальном проекте нужны первоисточники, подтверждающие документы и решение ответственного специалиста о применимом основании обработки. Это учебный анализ, не юридическая консультация.</w:t>
      </w:r>
      <w:r>
        <w:rPr>
          <w:rFonts w:ascii="Times New Roman" w:hAnsi="Times New Roman" w:cs="Times New Roman"/>
        </w:rPr>
      </w:r>
    </w:p>
    <w:p w14:paraId="6F0DB7B5"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170" w:afterAutospacing="0"/>
        <w:ind w:right="0" w:firstLine="709" w:left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6. Паспорт данных и карточка модели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п</w:t>
      </w:r>
      <w:r>
        <w:rPr>
          <w:rFonts w:ascii="Times New Roman" w:hAnsi="Times New Roman" w:eastAsia="Times New Roman" w:cs="Times New Roman"/>
        </w:rPr>
        <w:t xml:space="preserve">аспорте набора (../artifacts/v23/data_card.md) заполнены семь разделов: мотивация, состав, сбор, обработка, использование, распространение и сопровождение. Указаны исходные 12 записей, рабочие 7 и карантинные 5, порядок возврата из карантина и ограничения.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Карточка модели (../artifacts/v23/model_card.md) составлена для генератора текстур из ЛР 1. Это процедурный алгоритм, </w:t>
      </w:r>
      <w:r>
        <w:rPr>
          <w:rFonts w:ascii="Times New Roman" w:hAnsi="Times New Roman" w:eastAsia="Times New Roman" w:cs="Times New Roman"/>
        </w:rPr>
        <w:t xml:space="preserve">а не обучаемая нейросеть: весов и обучающих данных нет. Набор ЛР 2 в него не подавался. В карточку перенесены реальные результаты варианта 23: при n=5 энтропия снизилась с 7,142467 до 3,086863 бита; для остальных метрик влияние не обнаружено по правилу 2s.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Автоматическая заготовка дополнена лицензией MIT, </w:t>
      </w:r>
      <w:r>
        <w:rPr>
          <w:rFonts w:ascii="Times New Roman" w:hAnsi="Times New Roman" w:eastAsia="Times New Roman" w:cs="Times New Roman"/>
        </w:rPr>
        <w:t xml:space="preserve">ответственным, точными seed и границами применения. Формальный вывод генератора карточки «критичных пробелов не выявлено» не принят как доказательство полноты: отдельно описаны сведения, которые для реальных моделей пришлось бы устанавливать дополнительно.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Полные тексты обоих документов включены в приложения А и Б отчёта Word.</w:t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170" w:afterAutospacing="0"/>
        <w:ind w:right="0" w:firstLine="709" w:left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7. Реестр рисков и проверка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Составлены шесть рисков из шести категорий NIST AI 600-1 [1]. Обе обязательные категории включены. Оценки L и I заданы по учебной шкале 1–5, R=L×I. Это субъективный приоритет до мер, а не измеренная вероятность инцидента.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94"/>
        <w:gridCol w:w="6293"/>
        <w:gridCol w:w="850"/>
        <w:gridCol w:w="850"/>
        <w:gridCol w:w="850"/>
      </w:tblGrid>
      <w:tr>
        <w:trPr>
          <w:cantSplit/>
          <w:tblHeader/>
        </w:trPr>
        <w:tc>
          <w:tcPr>
            <w:tcBorders/>
            <w:tcW w:w="794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93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Категория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94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93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Data Privacy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94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93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Human-AI Configuration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94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93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Information Security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94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93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Value Chain and Component Integration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94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93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Intellectual Property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94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93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Information Integrity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before="60" w:line="240" w:lineRule="auto"/>
              <w:ind w:right="0" w:firstLine="709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after="0"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каждой позиции записаны конкретн</w:t>
      </w:r>
      <w:r>
        <w:rPr>
          <w:rFonts w:ascii="Times New Roman" w:hAnsi="Times New Roman" w:eastAsia="Times New Roman" w:cs="Times New Roman"/>
        </w:rPr>
        <w:t xml:space="preserve">ые описание, мера, ответственная роль и наблюдаемый признак наступления. Реальные инциденты не заявляются. Полный реестр (../artifacts/v23/risk_register.csv) и обоснование оценок (risk_rationale.md) сохранены отдельно; в Word реестр включён в приложение В.</w:t>
      </w:r>
      <w:r>
        <w:rPr>
          <w:rFonts w:ascii="Times New Roman" w:hAnsi="Times New Roman" w:eastAsia="Times New Roman" w:cs="Times New Roman"/>
        </w:rPr>
      </w:r>
    </w:p>
    <w:p>
      <w:pPr>
        <w:pStyle w:val="863"/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.venv/bin/python src/lab02_risks.py \</w:t>
      </w:r>
      <w:r>
        <w:rPr>
          <w:rFonts w:ascii="Times New Roman" w:hAnsi="Times New Roman" w:eastAsia="Times New Roman" w:cs="Times New Roman"/>
        </w:rPr>
      </w:r>
    </w:p>
    <w:p>
      <w:pPr>
        <w:pStyle w:val="863"/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--csv artifacts/v23/risk_register.csv \</w:t>
      </w:r>
      <w:r>
        <w:rPr>
          <w:rFonts w:ascii="Times New Roman" w:hAnsi="Times New Roman" w:eastAsia="Times New Roman" w:cs="Times New Roman"/>
        </w:rPr>
      </w:r>
    </w:p>
    <w:p>
      <w:pPr>
        <w:pStyle w:val="863"/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--out artifacts/v23/risk_ranking.md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Получено RESULT: PASS, код возврата 0. Присутствие обязательных категорий проверено дополнительно, поскольку скрипт проверяет общий перечень и число категорий, но не требования конкретного варианта.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Для диагностики отдельно создан испорченный реестр из трёх </w:t>
      </w:r>
      <w:r>
        <w:rPr>
          <w:rFonts w:ascii="Times New Roman" w:hAnsi="Times New Roman" w:eastAsia="Times New Roman" w:cs="Times New Roman"/>
        </w:rPr>
        <w:t xml:space="preserve">строк: категория Copyright, оценка 7 и пустой owner. Проверка вернула пять ошибок и RESULT: FAIL (5), код возврата 1. После применения корректного реестра получен PASS. Исходный и исправленный файлы разделены; результаты обоих запусков находятся в журнале.</w:t>
      </w:r>
      <w:r>
        <w:rPr>
          <w:rFonts w:ascii="Times New Roman" w:hAnsi="Times New Roman" w:cs="Times New Roman"/>
        </w:rPr>
      </w:r>
    </w:p>
    <w:p w14:paraId="3B325932"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170" w:afterAutospacing="0"/>
        <w:ind w:right="0" w:firstLine="709" w:left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8. Вывод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исходном наборе выявлены две ошибки согласий и одно предупреждение о правообладателе. Все находки разобраны, реше</w:t>
      </w:r>
      <w:r>
        <w:rPr>
          <w:rFonts w:ascii="Times New Roman" w:hAnsi="Times New Roman" w:eastAsia="Times New Roman" w:cs="Times New Roman"/>
        </w:rPr>
        <w:t xml:space="preserve">ния приняты по всем 12 объектам. Пять спорных объектов отложены, семь оставлены кандидатами в рабочем поднаборе. Для реального использования этих семи записей потребовалась бы проверка первоисточников; юридическое разрешение результатом аудита не является.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Паспорт данных и карточка модели заполнены, реестр </w:t>
      </w:r>
      <w:r>
        <w:rPr>
          <w:rFonts w:ascii="Times New Roman" w:hAnsi="Times New Roman" w:eastAsia="Times New Roman" w:cs="Times New Roman"/>
        </w:rPr>
        <w:t xml:space="preserve">из шести рисков прошёл проверку. Проверка смены политики показала ограничение R7, а намеренная ошибка реестра позволила проверить диагностику валидатора. Цель работы достигнута: решения по данным можно проследить от политики и находок до мер и ограничений.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Все проверки выполнены локально; сведения о модели взяты из сохранённого паспорта ЛР 1.</w:t>
      </w:r>
      <w:r>
        <w:rPr>
          <w:rFonts w:ascii="Times New Roman" w:hAnsi="Times New Roman" w:cs="Times New Roman"/>
        </w:rPr>
      </w:r>
    </w:p>
    <w:p w14:paraId="25ECEC71"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170" w:afterAutospacing="0"/>
        <w:ind w:right="0" w:firstLine="709" w:left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9. Артефакты и источники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Репозиторий: https://github.com/LeeDef18/AI_creative_tech, папка Лабораторная2. Архив после публикации доступен через Code → Download ZIP. Основные файлы и команды повторения перечислены в README (../README.md).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NIST AI 600-1, July 2024 (https://nvlpubs.nist.gov/nistpubs/ai/NIST.AI.600-1.pdf), раздел 2.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Gebru и др. Datasheets for Datasets (https://arxiv.org/abs/1803.09010).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Mitchell и др. Model Cards for Model Reporting (https://arxiv.org/abs/1810.03993).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Creative Commons, CC BY 4.0 (https://creativecommons.org/licenses/by/4.0/).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5. Методические указания ЛР 2 (../lab2.md), вариант 23.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Первоисточники проверены 11.10.2026. Выводы по объектам основаны на учебном манифесте; правовые гарантии не даются.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 w:after="170" w:afterAutospacing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Приложение А. Паспорт набора данных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 w:firstLine="72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Версия документа: 1.0. Набор — синтетический манифест, не коллекция реальных медиаматериалов. Сценарий: внутренний некоммерческий прототип без публикации.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787C82A3"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Motivation (мотивация)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Набор с</w:t>
      </w:r>
      <w:r>
        <w:rPr>
          <w:rFonts w:ascii="Times New Roman" w:hAnsi="Times New Roman" w:eastAsia="Times New Roman" w:cs="Times New Roman"/>
        </w:rPr>
        <w:t xml:space="preserve">оздан для обучения проверке происхождения, условий использования и согласий. Пользователь набора — разработчик внутреннего прототипа; результат проверки нужен для принятия решения о составе рабочего поднабора. В данной лабораторной прототип не реализуется.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1C07CAD1"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Composition (состав)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Исходный манифест</w:t>
      </w:r>
      <w:r>
        <w:rPr>
          <w:rFonts w:ascii="Times New Roman" w:hAnsi="Times New Roman" w:eastAsia="Times New Roman" w:cs="Times New Roman"/>
        </w:rPr>
        <w:t xml:space="preserve"> содержит 12 записей: audio — 4, image — 4, text — 4. Каждая запись имеет id, условное имя файла, тип, источник, дату, лицензию, правообладателя, признак персональных данных, согласие и sha256. Лицензии: Apache-2.0 — 3, CC-BY-4.0 — 2, CC0-1.0 — 2, MIT — 5.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 четырёх записей personal_data=yes: item01 и item09 имеют document, item04 — none, item07 — n-a. Это условные признаки учебных объектов; реальных личных сведений в наборе нет. У item08 не указан правообладатель.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В рабочем поднаборе 7 записей: audio — 1, image — 3, text — 3; лицензии: Apache-2.0 — 2, CC-BY-4.0 — 2, CC0-1.</w:t>
      </w:r>
      <w:r>
        <w:rPr>
          <w:rFonts w:ascii="Times New Roman" w:hAnsi="Times New Roman" w:eastAsia="Times New Roman" w:cs="Times New Roman"/>
        </w:rPr>
        <w:t xml:space="preserve">0 — 1, MIT — 2. Все имеют personal_data=no. Пять записей находятся в карантине. Каталог учебных условий помечает 10 исходных и 6 рабочих записей как требующие атрибуции; для реальных объектов необходима проверка полного текста условий, включая уведомления.</w:t>
      </w:r>
      <w:r>
        <w:rPr>
          <w:rFonts w:ascii="Times New Roman" w:hAnsi="Times New Roman" w:cs="Times New Roman"/>
        </w:rPr>
      </w:r>
    </w:p>
    <w:p w14:paraId="35996910"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Collection Process (процесс сбора)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Метаданные сгенерированы lab02_make_variant.py для variant=23 с локальным random.Rand</w:t>
      </w:r>
      <w:r>
        <w:rPr>
          <w:rFonts w:ascii="Times New Roman" w:hAnsi="Times New Roman" w:eastAsia="Times New Roman" w:cs="Times New Roman"/>
        </w:rPr>
        <w:t xml:space="preserve">om(1023). Сетевой сбор не выполнялся. Домены example.org, правообладатели и даты являются вымышленными. Диапазон дат в метаданных: 2026-03-07 — 2026-08-23; это не даты фактического получения файлов. Реальная дата запуска находится в reports/commands.jsonl.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sha256 вычислен от строки variant23-itemXX. Он нужен для учебных проверок и не подтверждает существование или содержимое файла. Документы-согласия не приложены; поле document — только декларация в строке.</w:t>
      </w:r>
      <w:r>
        <w:rPr>
          <w:rFonts w:ascii="Times New Roman" w:hAnsi="Times New Roman" w:cs="Times New Roman"/>
        </w:rPr>
      </w:r>
    </w:p>
    <w:p w14:paraId="2880219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Preprocessing/cleaning/labeling (обработка и разметка)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Исходный manifest.csv сохранён без исправлений</w:t>
      </w:r>
      <w:r>
        <w:rPr>
          <w:rFonts w:ascii="Times New Roman" w:hAnsi="Times New Roman" w:eastAsia="Times New Roman" w:cs="Times New Roman"/>
        </w:rPr>
        <w:t xml:space="preserve">. В manifest_quarantine.csv выделены item01, item04, item07, item08 и item09. Оставшиеся item02, item03, item05, item06, item10, item11 и item12 записаны в manifest_working.csv. Значения полей не изменялись; разметка и обработка медиаданных не выполнялись.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Решения и основания по всем 12 объектам находятся в decisions.csv. Аудит исходного набора: 2 ошибки R6 и 1 предупреждение R10. После отбора рабочий манифест не имеет находок R1–R10, но его источники и права не подтверждены независимой проверкой.</w:t>
      </w:r>
      <w:r>
        <w:rPr>
          <w:rFonts w:ascii="Times New Roman" w:hAnsi="Times New Roman" w:cs="Times New Roman"/>
        </w:rPr>
      </w:r>
    </w:p>
    <w:p w14:paraId="01D8FAA2"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5. Uses (использование)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Предполагается внутрен</w:t>
      </w:r>
      <w:r>
        <w:rPr>
          <w:rFonts w:ascii="Times New Roman" w:hAnsi="Times New Roman" w:eastAsia="Times New Roman" w:cs="Times New Roman"/>
        </w:rPr>
        <w:t xml:space="preserve">нее некоммерческое использование с созданием производных, без публикации или передачи набора. Для учебного анализа пригодны все синтетические записи, включая дефектные. Для гипотетического рабочего прототипа сформирован поднабор кандидатов из семи записей.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Набор не явля</w:t>
      </w:r>
      <w:r>
        <w:rPr>
          <w:rFonts w:ascii="Times New Roman" w:hAnsi="Times New Roman" w:eastAsia="Times New Roman" w:cs="Times New Roman"/>
        </w:rPr>
        <w:t xml:space="preserve">ется разрешением на обработку реальных персональных данных, обучающим набором генератора ЛР 1 или доказательством наличия действительных согласий. При переходе к коммерческому применению, внешнему сервису или публикации политика и решения пересматриваются.</w:t>
      </w:r>
      <w:r>
        <w:rPr>
          <w:rFonts w:ascii="Times New Roman" w:hAnsi="Times New Roman" w:cs="Times New Roman"/>
        </w:rPr>
      </w:r>
    </w:p>
    <w:p w14:paraId="2F6B970C"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6. Distribution (распространение)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Политика варианта зап</w:t>
      </w:r>
      <w:r>
        <w:rPr>
          <w:rFonts w:ascii="Times New Roman" w:hAnsi="Times New Roman" w:eastAsia="Times New Roman" w:cs="Times New Roman"/>
        </w:rPr>
        <w:t xml:space="preserve">рещает публикацию предполагаемых исходных материалов. В учебный GitHub-репозиторий помещаются только синтетические метаданные, скрипты и отчёты; реальные файлы и согласия не загружаются. Условия отдельных записей не заменяются единой лицензией репозитория.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Правообладатели и условия сохраняются в манифесте. Отсутствие внешней публикации не является основанием игнорировать происхождение или согласия.</w:t>
      </w:r>
      <w:r>
        <w:rPr>
          <w:rFonts w:ascii="Times New Roman" w:hAnsi="Times New Roman" w:cs="Times New Roman"/>
        </w:rPr>
      </w:r>
    </w:p>
    <w:p w14:paraId="0281D65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7. Maintenance (сопровождение)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 документацию учебной работы отвечает Король Алексей Юрьевич. В реальном прое</w:t>
      </w:r>
      <w:r>
        <w:rPr>
          <w:rFonts w:ascii="Times New Roman" w:hAnsi="Times New Roman" w:eastAsia="Times New Roman" w:cs="Times New Roman"/>
        </w:rPr>
        <w:t xml:space="preserve">кте куратор данных принимает изменения и запросы на исправление или удаление, фиксирует затронутые id и приостанавливает использование спорного объекта. Подтверждающие документы хранятся в ограниченном доступе; в публичный журнал их содержимое не попадает.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Новая версия набора формируетс</w:t>
      </w:r>
      <w:r>
        <w:rPr>
          <w:rFonts w:ascii="Times New Roman" w:hAnsi="Times New Roman" w:eastAsia="Times New Roman" w:cs="Times New Roman"/>
        </w:rPr>
        <w:t xml:space="preserve">я после проверки запроса: меняются состав или подтверждённые метаданные, обновляется журнал решений и повторяется аудит. Возврат из карантина допускается только после документированного решения. В этой лабораторной реальные запросы и документы отсутствуют.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 w:after="170" w:afterAutospacing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Приложение Б. Карточка модели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 w:firstLine="72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Источник измерений: inputs/lr01_passport.json — сохранённая копия паспорта ЛР 1, вариант 23, запуск 2026-10-11 14:28:50 UTC. Формат из девяти разделов применён к учебному процедурному алгоритму.</w:t>
      </w:r>
      <w:r>
        <w:rPr>
          <w:rFonts w:ascii="Times New Roman" w:hAnsi="Times New Roman" w:cs="Times New Roman"/>
        </w:rPr>
      </w:r>
    </w:p>
    <w:p w14:paraId="3243313F"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Model Details (сведения о модели)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lab01_generator.py, версия 1.0. Тип — детерминированный генератор шума значений с несколькими октавами. Обучение не</w:t>
      </w:r>
      <w:r>
        <w:rPr>
          <w:rFonts w:ascii="Times New Roman" w:hAnsi="Times New Roman" w:eastAsia="Times New Roman" w:cs="Times New Roman"/>
        </w:rPr>
        <w:t xml:space="preserve"> выполняется, весов модели нет. Лицензия кода — MIT. За карточку и воспроизведение учебного эксперимента отвечает Король Алексей Юрьевич; авторство исходного генератора не присваивается.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Среда измерений: CPython 3.14.4, Linux-7.0.0-34-generic-x86_64-with-glibc2.43, zlib 1.3.1. Контрольные суммы исходных скриптов приведены в копии паспорта ЛР 1.</w:t>
      </w:r>
      <w:r>
        <w:rPr>
          <w:rFonts w:ascii="Times New Roman" w:hAnsi="Times New Roman" w:cs="Times New Roman"/>
        </w:rPr>
      </w:r>
    </w:p>
    <w:p w14:paraId="2442716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Intended Use (назначение)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Отработка воспроизводимости: фиксиров</w:t>
      </w:r>
      <w:r>
        <w:rPr>
          <w:rFonts w:ascii="Times New Roman" w:hAnsi="Times New Roman" w:eastAsia="Times New Roman" w:cs="Times New Roman"/>
        </w:rPr>
        <w:t xml:space="preserve">ать seed, параметры и среду, сравнивать полные массивы, оценивать разброс и действие одного фактора. Исследуемый контекст — водная рябь как фон видеозаставки. Измерения не подтверждают эстетическое качество, безопасность или пригодность к выпуску продукта.</w:t>
      </w:r>
      <w:r>
        <w:rPr>
          <w:rFonts w:ascii="Times New Roman" w:hAnsi="Times New Roman" w:cs="Times New Roman"/>
        </w:rPr>
      </w:r>
    </w:p>
    <w:p w14:paraId="31D9BFF2"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Factors (факторы)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База: size=96, cell=8, </w:t>
      </w:r>
      <w:r>
        <w:rPr>
          <w:rFonts w:ascii="Times New Roman" w:hAnsi="Times New Roman" w:eastAsia="Times New Roman" w:cs="Times New Roman"/>
        </w:rPr>
        <w:t xml:space="preserve">octaves=4, persistence=0.45, quantize=8, interp=smooth. Изученное изменение — quantize=4; остальные параметры фиксированы. Seed серии 101–105, n=5; проверка воспроизводимости — 101, 101, 1101, 101. Данных о людях и демографических группах в генераторе нет.</w:t>
      </w:r>
      <w:r>
        <w:rPr>
          <w:rFonts w:ascii="Times New Roman" w:hAnsi="Times New Roman" w:cs="Times New Roman"/>
        </w:rPr>
      </w:r>
    </w:p>
    <w:p w14:paraId="72B6600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Metrics (метрики)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Средняя яркость, контраст, граничная энергия по горизонтальным соседям и энтропия гистограммы. Первые три нормированы на 255. Разброс между seed — выборочное s с делителем n−1. Критерий влияния — |Δ| &gt; 2s_base; это учебное правило, не статистический тест.</w:t>
      </w:r>
      <w:r>
        <w:rPr>
          <w:rFonts w:ascii="Times New Roman" w:hAnsi="Times New Roman" w:cs="Times New Roman"/>
        </w:rPr>
      </w:r>
    </w:p>
    <w:p w14:paraId="7A293A7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Evaluation Data (данные для оценки)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Пять базо</w:t>
      </w:r>
      <w:r>
        <w:rPr>
          <w:rFonts w:ascii="Times New Roman" w:hAnsi="Times New Roman" w:eastAsia="Times New Roman" w:cs="Times New Roman"/>
        </w:rPr>
        <w:t xml:space="preserve">вых и пять изменённых изображений, полученных самим генератором при seed 101–105, а также четыре запуска протокола воспроизводимости. Это синтетические данные. Манифест из 12 записей ЛР 2 в генератор не подавался и не использовался для оценки его качества.</w:t>
      </w:r>
      <w:r>
        <w:rPr>
          <w:rFonts w:ascii="Times New Roman" w:hAnsi="Times New Roman" w:cs="Times New Roman"/>
        </w:rPr>
      </w:r>
    </w:p>
    <w:p w14:paraId="50AAC0B0"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Training Data (обучающие данные)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Отсутствуют: алгоритм не обучается. Раздел применим как явная фиксация отсутствия обучения, а не оставлен пустым.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Quantitative Analyses (количественный анализ)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7"/>
        <w:gridCol w:w="1871"/>
        <w:gridCol w:w="1474"/>
        <w:gridCol w:w="2268"/>
        <w:gridCol w:w="2608"/>
      </w:tblGrid>
      <w:tr>
        <w:trPr>
          <w:cantSplit/>
          <w:tblHeader/>
        </w:trPr>
        <w:tc>
          <w:tcPr>
            <w:tcBorders/>
            <w:tcW w:w="1417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Среднее базы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7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s базы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Среднее при 4 битах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08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Вывод при n=5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mean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0.502004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7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0.017318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0.502205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08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Не обнаружено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contrast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0.137567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7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0.003988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0.138882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08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Не обнаружено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edge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0.037250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7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0.000636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0.037349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08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Не обнаружено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entropy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7.142467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7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0.041641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3.086863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08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Существенно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Протокол EQ_1_2, EQ_1</w:t>
      </w:r>
      <w:r>
        <w:rPr>
          <w:rFonts w:ascii="Times New Roman" w:hAnsi="Times New Roman" w:eastAsia="Times New Roman" w:cs="Times New Roman"/>
        </w:rPr>
        <w:t xml:space="preserve">_4, EQ_1_3, EQ_2_4: true, true, false, true. Для энтропии отношение |Δ|/s_base = 97.40; снижение обнаружено. Для остальных метрик влияние не обнаружено при n=5. Значения относятся к конкретным параметрам и seed, не являются оценкой всех режимов генератора.</w:t>
      </w:r>
      <w:r>
        <w:rPr>
          <w:rFonts w:ascii="Times New Roman" w:hAnsi="Times New Roman" w:cs="Times New Roman"/>
        </w:rPr>
      </w:r>
    </w:p>
    <w:p w14:paraId="553F40F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Ethical Considerations (этические аспекты)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Генератор не использует внешние изображения или персональные данные. Лицензия </w:t>
      </w:r>
      <w:r>
        <w:rPr>
          <w:rFonts w:ascii="Times New Roman" w:hAnsi="Times New Roman" w:eastAsia="Times New Roman" w:cs="Times New Roman"/>
        </w:rPr>
        <w:t xml:space="preserve">кода, условия входных данных и права на результат — разные вопросы. Для этого алгоритма лицензия весов неприменима, потому что весов нет. Карточка не даёт универсальной гарантии прав на любой результат и не заменяет анализ реального сценария использования.</w:t>
      </w:r>
      <w:r>
        <w:rPr>
          <w:rFonts w:ascii="Times New Roman" w:hAnsi="Times New Roman" w:cs="Times New Roman"/>
        </w:rPr>
      </w:r>
    </w:p>
    <w:p w14:paraId="2FE2F754"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705"/>
        <w:pBdr/>
        <w:spacing w:after="85" w:afterAutospacing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Caveats and Recommendations (ограничения и рекомендации)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Малая серия n=5, один генератор, статистика яркости вместо оценки восприятия. Наличие паспорта не гарантирует побитовое совпадение при произвольной смене среды. Критерий 2s упрощён.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составлении карточки уточнены лицензия кода и ответственный: исходный скрипт lab02_model_card.py не извл</w:t>
      </w:r>
      <w:r>
        <w:rPr>
          <w:rFonts w:ascii="Times New Roman" w:hAnsi="Times New Roman" w:eastAsia="Times New Roman" w:cs="Times New Roman"/>
        </w:rPr>
        <w:t xml:space="preserve">екает их автоматически из паспорта и без параметров оставляет «не указано». Параметры --code-license MIT и --owner переданы явно. Автоматический вывод об отсутствии критичных пробелов заменён конкретным описанием того, что установлено и что не проверялось.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реальной обучаемой модели дополнительно понадобятся ревизия и лицензия весов, происхождение обучающих данных, ограничения и проверки целевого применения. Эти сведения не следует выдумывать по паспорту процедурного генератора.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Приложение В. Реестр рисков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05"/>
        <w:pBdr/>
        <w:spacing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R01. Data Privacy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Описание: </w:t>
      </w:r>
      <w:r>
        <w:rPr>
          <w:rFonts w:ascii="Times New Roman" w:hAnsi="Times New Roman" w:eastAsia="Times New Roman" w:cs="Times New Roman"/>
        </w:rPr>
        <w:t xml:space="preserve">В прототип включены записи с персональными данными без проверенного основания обработки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Мера: </w:t>
      </w:r>
      <w:r>
        <w:rPr>
          <w:rFonts w:ascii="Times New Roman" w:hAnsi="Times New Roman" w:eastAsia="Times New Roman" w:cs="Times New Roman"/>
        </w:rPr>
        <w:t xml:space="preserve">Карантин item04 и item07; item01 и item09 допускаются только после содержательной проверки документов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Ответственная роль: </w:t>
      </w:r>
      <w:r>
        <w:rPr>
          <w:rFonts w:ascii="Times New Roman" w:hAnsi="Times New Roman" w:eastAsia="Times New Roman" w:cs="Times New Roman"/>
        </w:rPr>
        <w:t xml:space="preserve">куратор данных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Признак наступления: </w:t>
      </w:r>
      <w:r>
        <w:rPr>
          <w:rFonts w:ascii="Times New Roman" w:hAnsi="Times New Roman" w:eastAsia="Times New Roman" w:cs="Times New Roman"/>
        </w:rPr>
        <w:t xml:space="preserve">В рабочем манифесте появилась запись personal_data=yes без зарегистрированного решения по документу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 = 4; I = 5; R = 20.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R02. Information Security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Описание: </w:t>
      </w:r>
      <w:r>
        <w:rPr>
          <w:rFonts w:ascii="Times New Roman" w:hAnsi="Times New Roman" w:eastAsia="Times New Roman" w:cs="Times New Roman"/>
        </w:rPr>
        <w:t xml:space="preserve">Материалы внутреннего прототипа случайно переданы наружу через репозиторий или внешний сервис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Мера: </w:t>
      </w:r>
      <w:r>
        <w:rPr>
          <w:rFonts w:ascii="Times New Roman" w:hAnsi="Times New Roman" w:eastAsia="Times New Roman" w:cs="Times New Roman"/>
        </w:rPr>
        <w:t xml:space="preserve">Ограничить доступ и экспорт; проверять состав выгрузки; учебный репозиторий содержит только синтетические записи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Ответственная роль: </w:t>
      </w:r>
      <w:r>
        <w:rPr>
          <w:rFonts w:ascii="Times New Roman" w:hAnsi="Times New Roman" w:eastAsia="Times New Roman" w:cs="Times New Roman"/>
        </w:rPr>
        <w:t xml:space="preserve">ответственный за информационную безопасность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Признак наступления: </w:t>
      </w:r>
      <w:r>
        <w:rPr>
          <w:rFonts w:ascii="Times New Roman" w:hAnsi="Times New Roman" w:eastAsia="Times New Roman" w:cs="Times New Roman"/>
        </w:rPr>
        <w:t xml:space="preserve">В журнале доступа или списке выгрузки обнаружена передача исходных материалов внешнему получателю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 = 3; I = 5; R = 15.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R03. Value Chain and Component Integration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Описание: </w:t>
      </w:r>
      <w:r>
        <w:rPr>
          <w:rFonts w:ascii="Times New Roman" w:hAnsi="Times New Roman" w:eastAsia="Times New Roman" w:cs="Times New Roman"/>
        </w:rPr>
        <w:t xml:space="preserve">В состав прототипа включён сторонний материал с неустановленным правообладателем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Мера: </w:t>
      </w:r>
      <w:r>
        <w:rPr>
          <w:rFonts w:ascii="Times New Roman" w:hAnsi="Times New Roman" w:eastAsia="Times New Roman" w:cs="Times New Roman"/>
        </w:rPr>
        <w:t xml:space="preserve">Карантин item08; проверять происхождение компонента и хранить версию манифеста с подтверждениями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Ответственная роль: </w:t>
      </w:r>
      <w:r>
        <w:rPr>
          <w:rFonts w:ascii="Times New Roman" w:hAnsi="Times New Roman" w:eastAsia="Times New Roman" w:cs="Times New Roman"/>
        </w:rPr>
        <w:t xml:space="preserve">куратор данных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Признак наступления: </w:t>
      </w:r>
      <w:r>
        <w:rPr>
          <w:rFonts w:ascii="Times New Roman" w:hAnsi="Times New Roman" w:eastAsia="Times New Roman" w:cs="Times New Roman"/>
        </w:rPr>
        <w:t xml:space="preserve">В рабочем манифесте найден пустой rights_holder или материал без прослеживаемого источника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 = 3; I = 4; R = 12.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R04. Intellectual Property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Описание: </w:t>
      </w:r>
      <w:r>
        <w:rPr>
          <w:rFonts w:ascii="Times New Roman" w:hAnsi="Times New Roman" w:eastAsia="Times New Roman" w:cs="Times New Roman"/>
        </w:rPr>
        <w:t xml:space="preserve">При включении материалов в прототип потеряны авторство или обязательные лицензионные уведомления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Мера: </w:t>
      </w:r>
      <w:r>
        <w:rPr>
          <w:rFonts w:ascii="Times New Roman" w:hAnsi="Times New Roman" w:eastAsia="Times New Roman" w:cs="Times New Roman"/>
        </w:rPr>
        <w:t xml:space="preserve">Сохранять лицензию и сведения об авторе для каждого объекта; перед реальным использованием сверить исходный текст условий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Ответственная роль: </w:t>
      </w:r>
      <w:r>
        <w:rPr>
          <w:rFonts w:ascii="Times New Roman" w:hAnsi="Times New Roman" w:eastAsia="Times New Roman" w:cs="Times New Roman"/>
        </w:rPr>
        <w:t xml:space="preserve">ответственный за лицензии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Признак наступления: </w:t>
      </w:r>
      <w:r>
        <w:rPr>
          <w:rFonts w:ascii="Times New Roman" w:hAnsi="Times New Roman" w:eastAsia="Times New Roman" w:cs="Times New Roman"/>
        </w:rPr>
        <w:t xml:space="preserve">В комплекте компонента отсутствует требуемое лицензионное уведомление или указание автора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 = 3; I = 4; R = 12.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R05. Human-AI Configuration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Описание: </w:t>
      </w:r>
      <w:r>
        <w:rPr>
          <w:rFonts w:ascii="Times New Roman" w:hAnsi="Times New Roman" w:eastAsia="Times New Roman" w:cs="Times New Roman"/>
        </w:rPr>
        <w:t xml:space="preserve">Решение об использовании принято только по отсутствию ошибок автоматического аудита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Мера: </w:t>
      </w:r>
      <w:r>
        <w:rPr>
          <w:rFonts w:ascii="Times New Roman" w:hAnsi="Times New Roman" w:eastAsia="Times New Roman" w:cs="Times New Roman"/>
        </w:rPr>
        <w:t xml:space="preserve">Разделить автоматическую проверку и ручной допуск; отдельно проверять document даже при отсутствии R7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Ответственная роль: </w:t>
      </w:r>
      <w:r>
        <w:rPr>
          <w:rFonts w:ascii="Times New Roman" w:hAnsi="Times New Roman" w:eastAsia="Times New Roman" w:cs="Times New Roman"/>
        </w:rPr>
        <w:t xml:space="preserve">руководитель прототипа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Признак наступления: </w:t>
      </w:r>
      <w:r>
        <w:rPr>
          <w:rFonts w:ascii="Times New Roman" w:hAnsi="Times New Roman" w:eastAsia="Times New Roman" w:cs="Times New Roman"/>
        </w:rPr>
        <w:t xml:space="preserve">В решении стоит только ссылка на нулевое число ошибок, а содержательная проверка согласия не зафиксирована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 = 4; I = 4; R = 16.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R06. Information Integrity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Описание: </w:t>
      </w:r>
      <w:r>
        <w:rPr>
          <w:rFonts w:ascii="Times New Roman" w:hAnsi="Times New Roman" w:eastAsia="Times New Roman" w:cs="Times New Roman"/>
        </w:rPr>
        <w:t xml:space="preserve">Учебные метаданные и хеши строк представлены как доказательство существования и проверки реальных материалов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Мера: </w:t>
      </w:r>
      <w:r>
        <w:rPr>
          <w:rFonts w:ascii="Times New Roman" w:hAnsi="Times New Roman" w:eastAsia="Times New Roman" w:cs="Times New Roman"/>
        </w:rPr>
        <w:t xml:space="preserve">Маркировать набор как синтетический; описать происхождение sha256; не подменять заглушки проверенными источниками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Ответственная роль: </w:t>
      </w:r>
      <w:r>
        <w:rPr>
          <w:rFonts w:ascii="Times New Roman" w:hAnsi="Times New Roman" w:eastAsia="Times New Roman" w:cs="Times New Roman"/>
        </w:rPr>
        <w:t xml:space="preserve">ответственный за документацию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Признак наступления: </w:t>
      </w:r>
      <w:r>
        <w:rPr>
          <w:rFonts w:ascii="Times New Roman" w:hAnsi="Times New Roman" w:eastAsia="Times New Roman" w:cs="Times New Roman"/>
        </w:rPr>
        <w:t xml:space="preserve">В карточке или отчёте заявлена проверка реального файла либо согласия при наличии только синтетической записи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 = 3; I = 3; R = 9.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Шкалы L и I — целые 1–5, R=L×I. Это субъективная уче</w:t>
      </w:r>
      <w:r>
        <w:rPr>
          <w:rFonts w:ascii="Times New Roman" w:hAnsi="Times New Roman" w:eastAsia="Times New Roman" w:cs="Times New Roman"/>
        </w:rPr>
        <w:t xml:space="preserve">бная приоритизация до мер, а не измеренные вероятности или оценка частоты инцидентов. Описан гипотетический прототип; фактических утечек и нарушений в лабораторной не было. Ответственные обозначены проектными ролями, не реальными назначенными сотрудниками.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7"/>
        <w:gridCol w:w="624"/>
        <w:gridCol w:w="624"/>
        <w:gridCol w:w="624"/>
        <w:gridCol w:w="6860"/>
      </w:tblGrid>
      <w:tr>
        <w:trPr>
          <w:cantSplit/>
          <w:tblHeader/>
        </w:trPr>
        <w:tc>
          <w:tcPr>
            <w:tcBorders/>
            <w:tcW w:w="907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Риск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860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Обоснование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907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860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Есть две явные проблемы согласий и два неподтверждённых документа; последствия для людей потенциально серьёзны.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907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860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Передача через рабочие инструменты возможна при ошибке доступа; публикация противоречит сценарию и затрагивает личные сведения.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907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860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Пробел правообладателя уже присутствует в метаданных; может потребоваться замена компонента и пересборка прототипа.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907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860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Большинство записей имеют условия атрибуции; потеря уведомлений способна сорвать последующее использование.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907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860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Скрипт молчит о document без публикации; поэтому доверие одному числу ошибок создаёт очевидный пробел контроля.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907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4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860" w:type="dxa"/>
          </w:tcPr>
          <w:p>
            <w:pPr>
              <w:pBdr/>
              <w:spacing w:after="60" w:before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Даты, имена файлов и хеши выглядят правдоподобно; ошибочное описание вводит в заблуждение проверяющих.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Группы взяты из перечня NIST AI 600-1 и методички. Собственные описания адаптированы к сценарию; формула L×I задана</w:t>
      </w:r>
      <w:r>
        <w:rPr>
          <w:rFonts w:ascii="Times New Roman" w:hAnsi="Times New Roman" w:eastAsia="Times New Roman" w:cs="Times New Roman"/>
        </w:rPr>
        <w:t xml:space="preserve"> учебной работой. Обязательные Information Security и Value Chain and Component Integration присутствуют. Остальные группы из полного перечня не включены: для данного учебного сценария конкретные события по ним не установлены, включать все 12 не требуется.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Приложение Г. Контрольные вопросы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Данные, веса и результат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Лицензия данных задаёт условия исп</w:t>
      </w:r>
      <w:r>
        <w:rPr>
          <w:rFonts w:ascii="Times New Roman" w:hAnsi="Times New Roman" w:eastAsia="Times New Roman" w:cs="Times New Roman"/>
        </w:rPr>
        <w:t xml:space="preserve">ользования входных материалов; лицензия весов — условия использования модели; права на результат оцениваются отдельно. Ошибка — считать, что открытая модель автоматически разрешает любой входной материал. У генератора ЛР 1 весов нет, но есть лицензия кода.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Условия BY, SA, NC и ND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учебной модели BY требует атрибуции, SA — тех же условий распространения адаптации, NC ограничивает коммерческое использование, ND ограничивает распространение адаптаций. Скрипт уп</w:t>
      </w:r>
      <w:r>
        <w:rPr>
          <w:rFonts w:ascii="Times New Roman" w:hAnsi="Times New Roman" w:eastAsia="Times New Roman" w:cs="Times New Roman"/>
        </w:rPr>
        <w:t xml:space="preserve">рощённо помечает ND при любом derivatives=true. Для коммерческой афиши NC вызывает R3; ND также конфликтует с созданием производных по правилу R4, а SA при неприемлемом условии даёт R5. Точные условия реального использования проверяются по тексту лицензии.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Нестандартная запись лицензии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«CC BY 4» не является точным идентификатором каталога. Нужно получить подтверждение первоисточника, а затем записать подтверждённый идентификатор, например CC-BY-4.0. Подменять исходную запись по догадке нельзя.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Две находки для одного объекта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демонстрационном сценарии CC-BY-NC-SA-4.0 вызывает R3 из-за коммерческого использования и R5 из-за неприемлемого ShareAlike. Исключение объекта из рабочего набора закрывает обе находки; решения должны быть связаны с одним объектом.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5. Ошибка и предупреждение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Это разные уровни учебных правил, а не разрешение игнорировать предупреждения. В варианте 23 R10 для item08 — предупреждение, но без правообладателя нельзя подтвердить происхождение разрешения; объект отложен до уточнения.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6. Согласия с публикацией и без неё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Только по четырём записям с персональными данными: с публикацией — 2 ошибки R6 и 2 предупреждения R7; без публикации — 2 ошибки и 0 предупреждений. В полном варианте 23 дополнительно присутствует R10, поэтому общие числа равны 2/3 и 2/1 соответственно.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7. Расчёт риска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L=3 и I=5 R=15. Для L=4, I=3 получается 12, для L=2, I=5 — 10. Первый риск ранжируется выше по заданному произведению. Одинаковая итоговая оценка не означает одинаковые причины и меры.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8. Пробелы карточки модели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Лицензия кода и ответственный не извлекаются скрипт</w:t>
      </w:r>
      <w:r>
        <w:rPr>
          <w:rFonts w:ascii="Times New Roman" w:hAnsi="Times New Roman" w:eastAsia="Times New Roman" w:cs="Times New Roman"/>
        </w:rPr>
        <w:t xml:space="preserve">ом автоматически. Они заданы явно и пояснены в карточке. Паспорт эксперимента фиксирует условия запуска, но сам по себе не заменяет документацию назначения, прав и ограничений. Обучающие данные и веса в данном случае отсутствуют, поэтому это записано явно.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9. Признак наступления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Он позволяет обнаружить событие, а не просто перечислить опасность. Пример для Data Privacy: в рабочем манифесте появилась запись personal_data=yes без зарегистрированного решения по документу. Это проверяемый сигнал для остановки использования и разбора.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10. Что не проверяет аудит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Он не подтверждает источник, авторство, лицензию и текст соглас</w:t>
      </w:r>
      <w:r>
        <w:rPr>
          <w:rFonts w:ascii="Times New Roman" w:hAnsi="Times New Roman" w:eastAsia="Times New Roman" w:cs="Times New Roman"/>
        </w:rPr>
        <w:t xml:space="preserve">ия, не определяет реальное наличие личных сведений и не проверяет содержимое файлов. В реальном проекте нужны первоисточники, документы, проверка содержимого и доступов. В лабораторной такие проверки обозначены как необходимые, но не выданы за выполненные.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417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nsolas">
    <w:panose1 w:val="020B0606020202030204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2"/>
      <w:pBdr/>
      <w:spacing/>
      <w:ind/>
      <w:jc w:val="center"/>
      <w:rPr/>
    </w:pP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pBdr/>
      <w:spacing w:after="80" w:line="259" w:lineRule="auto"/>
      <w:ind/>
    </w:pPr>
    <w:rPr>
      <w:rFonts w:ascii="Times New Roman" w:hAnsi="Times New Roman"/>
      <w:sz w:val="24"/>
    </w:rPr>
  </w:style>
  <w:style w:type="paragraph" w:styleId="700">
    <w:name w:val="Header"/>
    <w:basedOn w:val="699"/>
    <w:link w:val="70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1" w:customStyle="1">
    <w:name w:val="Header Char"/>
    <w:basedOn w:val="713"/>
    <w:link w:val="700"/>
    <w:uiPriority w:val="99"/>
    <w:pPr>
      <w:pBdr/>
      <w:spacing/>
      <w:ind/>
    </w:pPr>
  </w:style>
  <w:style w:type="paragraph" w:styleId="702">
    <w:name w:val="Footer"/>
    <w:basedOn w:val="699"/>
    <w:link w:val="7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3" w:customStyle="1">
    <w:name w:val="Footer Char"/>
    <w:basedOn w:val="713"/>
    <w:link w:val="702"/>
    <w:uiPriority w:val="99"/>
    <w:pPr>
      <w:pBdr/>
      <w:spacing/>
      <w:ind/>
    </w:pPr>
  </w:style>
  <w:style w:type="paragraph" w:styleId="704">
    <w:name w:val="Heading 1"/>
    <w:basedOn w:val="699"/>
    <w:next w:val="699"/>
    <w:link w:val="71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705">
    <w:name w:val="Heading 2"/>
    <w:basedOn w:val="699"/>
    <w:next w:val="699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706">
    <w:name w:val="Heading 3"/>
    <w:basedOn w:val="699"/>
    <w:next w:val="699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Times New Roman" w:hAnsi="Times New Roman" w:asciiTheme="majorHAnsi" w:hAnsiTheme="majorHAnsi" w:eastAsiaTheme="majorEastAsia" w:cstheme="majorBidi"/>
      <w:b/>
      <w:bCs/>
      <w:color w:val="000000"/>
    </w:rPr>
  </w:style>
  <w:style w:type="paragraph" w:styleId="707">
    <w:name w:val="Heading 4"/>
    <w:basedOn w:val="699"/>
    <w:next w:val="699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8">
    <w:name w:val="Heading 5"/>
    <w:basedOn w:val="699"/>
    <w:next w:val="699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9">
    <w:name w:val="Heading 6"/>
    <w:basedOn w:val="699"/>
    <w:next w:val="699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0">
    <w:name w:val="Heading 7"/>
    <w:basedOn w:val="699"/>
    <w:next w:val="699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1">
    <w:name w:val="Heading 8"/>
    <w:basedOn w:val="699"/>
    <w:next w:val="699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2">
    <w:name w:val="Heading 9"/>
    <w:basedOn w:val="699"/>
    <w:next w:val="699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3" w:default="1">
    <w:name w:val="Default Paragraph Font"/>
    <w:uiPriority w:val="1"/>
    <w:semiHidden/>
    <w:unhideWhenUsed/>
    <w:pPr>
      <w:pBdr/>
      <w:spacing/>
      <w:ind/>
    </w:pPr>
  </w:style>
  <w:style w:type="table" w:styleId="7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5" w:default="1">
    <w:name w:val="No List"/>
    <w:uiPriority w:val="99"/>
    <w:semiHidden/>
    <w:unhideWhenUsed/>
    <w:pPr>
      <w:pBdr/>
      <w:spacing/>
      <w:ind/>
    </w:pPr>
  </w:style>
  <w:style w:type="paragraph" w:styleId="716">
    <w:name w:val="No Spacing"/>
    <w:uiPriority w:val="1"/>
    <w:qFormat/>
    <w:pPr>
      <w:pBdr/>
      <w:spacing w:after="0" w:line="240" w:lineRule="auto"/>
      <w:ind/>
    </w:pPr>
  </w:style>
  <w:style w:type="character" w:styleId="717" w:customStyle="1">
    <w:name w:val="Heading 1 Char"/>
    <w:basedOn w:val="713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8" w:customStyle="1">
    <w:name w:val="Heading 2 Char"/>
    <w:basedOn w:val="713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9" w:customStyle="1">
    <w:name w:val="Heading 3 Char"/>
    <w:basedOn w:val="713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0">
    <w:name w:val="Title"/>
    <w:basedOn w:val="699"/>
    <w:next w:val="699"/>
    <w:link w:val="72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Times New Roman" w:hAnsi="Times New Roman"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721" w:customStyle="1">
    <w:name w:val="Title Char"/>
    <w:basedOn w:val="713"/>
    <w:link w:val="72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2">
    <w:name w:val="Subtitle"/>
    <w:basedOn w:val="699"/>
    <w:next w:val="699"/>
    <w:link w:val="72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3" w:customStyle="1">
    <w:name w:val="Subtitle Char"/>
    <w:basedOn w:val="713"/>
    <w:link w:val="72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4">
    <w:name w:val="List Paragraph"/>
    <w:basedOn w:val="699"/>
    <w:uiPriority w:val="34"/>
    <w:qFormat/>
    <w:pPr>
      <w:pBdr/>
      <w:spacing/>
      <w:ind w:left="720"/>
      <w:contextualSpacing w:val="true"/>
    </w:pPr>
  </w:style>
  <w:style w:type="paragraph" w:styleId="725">
    <w:name w:val="Body Text"/>
    <w:basedOn w:val="699"/>
    <w:link w:val="726"/>
    <w:uiPriority w:val="99"/>
    <w:unhideWhenUsed/>
    <w:pPr>
      <w:pBdr/>
      <w:spacing w:after="120"/>
      <w:ind/>
    </w:pPr>
  </w:style>
  <w:style w:type="character" w:styleId="726" w:customStyle="1">
    <w:name w:val="Body Text Char"/>
    <w:basedOn w:val="713"/>
    <w:link w:val="725"/>
    <w:uiPriority w:val="99"/>
    <w:pPr>
      <w:pBdr/>
      <w:spacing/>
      <w:ind/>
    </w:pPr>
  </w:style>
  <w:style w:type="paragraph" w:styleId="727">
    <w:name w:val="Body Text 2"/>
    <w:basedOn w:val="699"/>
    <w:link w:val="728"/>
    <w:uiPriority w:val="99"/>
    <w:unhideWhenUsed/>
    <w:pPr>
      <w:pBdr/>
      <w:spacing w:after="120" w:line="480" w:lineRule="auto"/>
      <w:ind/>
    </w:pPr>
  </w:style>
  <w:style w:type="character" w:styleId="728" w:customStyle="1">
    <w:name w:val="Body Text 2 Char"/>
    <w:basedOn w:val="713"/>
    <w:link w:val="727"/>
    <w:uiPriority w:val="99"/>
    <w:pPr>
      <w:pBdr/>
      <w:spacing/>
      <w:ind/>
    </w:pPr>
  </w:style>
  <w:style w:type="paragraph" w:styleId="729">
    <w:name w:val="Body Text 3"/>
    <w:basedOn w:val="699"/>
    <w:link w:val="73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0" w:customStyle="1">
    <w:name w:val="Body Text 3 Char"/>
    <w:basedOn w:val="713"/>
    <w:link w:val="729"/>
    <w:uiPriority w:val="99"/>
    <w:pPr>
      <w:pBdr/>
      <w:spacing/>
      <w:ind/>
    </w:pPr>
    <w:rPr>
      <w:sz w:val="16"/>
      <w:szCs w:val="16"/>
    </w:rPr>
  </w:style>
  <w:style w:type="paragraph" w:styleId="731">
    <w:name w:val="List"/>
    <w:basedOn w:val="699"/>
    <w:uiPriority w:val="99"/>
    <w:unhideWhenUsed/>
    <w:pPr>
      <w:pBdr/>
      <w:spacing/>
      <w:ind w:hanging="360" w:left="360"/>
      <w:contextualSpacing w:val="true"/>
    </w:pPr>
  </w:style>
  <w:style w:type="paragraph" w:styleId="732">
    <w:name w:val="List 2"/>
    <w:basedOn w:val="699"/>
    <w:uiPriority w:val="99"/>
    <w:unhideWhenUsed/>
    <w:pPr>
      <w:pBdr/>
      <w:spacing/>
      <w:ind w:hanging="360" w:left="720"/>
      <w:contextualSpacing w:val="true"/>
    </w:pPr>
  </w:style>
  <w:style w:type="paragraph" w:styleId="733">
    <w:name w:val="List 3"/>
    <w:basedOn w:val="699"/>
    <w:uiPriority w:val="99"/>
    <w:unhideWhenUsed/>
    <w:pPr>
      <w:pBdr/>
      <w:spacing/>
      <w:ind w:hanging="360" w:left="1080"/>
      <w:contextualSpacing w:val="true"/>
    </w:pPr>
  </w:style>
  <w:style w:type="paragraph" w:styleId="734">
    <w:name w:val="List Bullet"/>
    <w:basedOn w:val="69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5">
    <w:name w:val="List Bullet 2"/>
    <w:basedOn w:val="69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6">
    <w:name w:val="List Bullet 3"/>
    <w:basedOn w:val="69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7">
    <w:name w:val="List Number"/>
    <w:basedOn w:val="69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8">
    <w:name w:val="List Number 2"/>
    <w:basedOn w:val="69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9">
    <w:name w:val="List Number 3"/>
    <w:basedOn w:val="69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0">
    <w:name w:val="List Continue"/>
    <w:basedOn w:val="699"/>
    <w:uiPriority w:val="99"/>
    <w:unhideWhenUsed/>
    <w:pPr>
      <w:pBdr/>
      <w:spacing w:after="120"/>
      <w:ind w:left="360"/>
      <w:contextualSpacing w:val="true"/>
    </w:pPr>
  </w:style>
  <w:style w:type="paragraph" w:styleId="741">
    <w:name w:val="List Continue 2"/>
    <w:basedOn w:val="699"/>
    <w:uiPriority w:val="99"/>
    <w:unhideWhenUsed/>
    <w:pPr>
      <w:pBdr/>
      <w:spacing w:after="120"/>
      <w:ind w:left="720"/>
      <w:contextualSpacing w:val="true"/>
    </w:pPr>
  </w:style>
  <w:style w:type="paragraph" w:styleId="742">
    <w:name w:val="List Continue 3"/>
    <w:basedOn w:val="699"/>
    <w:uiPriority w:val="99"/>
    <w:unhideWhenUsed/>
    <w:pPr>
      <w:pBdr/>
      <w:spacing w:after="120"/>
      <w:ind w:left="1080"/>
      <w:contextualSpacing w:val="true"/>
    </w:pPr>
  </w:style>
  <w:style w:type="paragraph" w:styleId="743">
    <w:name w:val="macro"/>
    <w:link w:val="74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4" w:customStyle="1">
    <w:name w:val="Macro Text Char"/>
    <w:basedOn w:val="713"/>
    <w:link w:val="74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5">
    <w:name w:val="Quote"/>
    <w:basedOn w:val="699"/>
    <w:next w:val="699"/>
    <w:link w:val="74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Quote Char"/>
    <w:basedOn w:val="713"/>
    <w:link w:val="745"/>
    <w:uiPriority w:val="29"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Heading 4 Char"/>
    <w:basedOn w:val="713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8" w:customStyle="1">
    <w:name w:val="Heading 5 Char"/>
    <w:basedOn w:val="713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9" w:customStyle="1">
    <w:name w:val="Heading 6 Char"/>
    <w:basedOn w:val="713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0" w:customStyle="1">
    <w:name w:val="Heading 7 Char"/>
    <w:basedOn w:val="713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1" w:customStyle="1">
    <w:name w:val="Heading 8 Char"/>
    <w:basedOn w:val="713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2" w:customStyle="1">
    <w:name w:val="Heading 9 Char"/>
    <w:basedOn w:val="713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3">
    <w:name w:val="Caption"/>
    <w:basedOn w:val="699"/>
    <w:next w:val="69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4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755">
    <w:name w:val="Emphasis"/>
    <w:basedOn w:val="713"/>
    <w:uiPriority w:val="20"/>
    <w:qFormat/>
    <w:pPr>
      <w:pBdr/>
      <w:spacing/>
      <w:ind/>
    </w:pPr>
    <w:rPr>
      <w:i/>
      <w:iCs/>
    </w:rPr>
  </w:style>
  <w:style w:type="paragraph" w:styleId="756">
    <w:name w:val="Intense Quote"/>
    <w:basedOn w:val="699"/>
    <w:next w:val="699"/>
    <w:link w:val="7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7" w:customStyle="1">
    <w:name w:val="Intense Quote Char"/>
    <w:basedOn w:val="713"/>
    <w:link w:val="7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8">
    <w:name w:val="Subtle Emphasis"/>
    <w:basedOn w:val="71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9">
    <w:name w:val="Intense Emphasis"/>
    <w:basedOn w:val="71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0">
    <w:name w:val="Subtle Reference"/>
    <w:basedOn w:val="71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1">
    <w:name w:val="Intense Reference"/>
    <w:basedOn w:val="71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2">
    <w:name w:val="Book Title"/>
    <w:basedOn w:val="71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3">
    <w:name w:val="TOC Heading"/>
    <w:basedOn w:val="704"/>
    <w:next w:val="699"/>
    <w:uiPriority w:val="39"/>
    <w:semiHidden/>
    <w:unhideWhenUsed/>
    <w:qFormat/>
    <w:pPr>
      <w:pBdr/>
      <w:spacing/>
      <w:ind/>
      <w:outlineLvl w:val="9"/>
    </w:pPr>
  </w:style>
  <w:style w:type="table" w:styleId="764">
    <w:name w:val="Table Grid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"/>
    <w:basedOn w:val="71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1"/>
    <w:basedOn w:val="71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2"/>
    <w:basedOn w:val="71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3"/>
    <w:basedOn w:val="71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4"/>
    <w:basedOn w:val="71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5"/>
    <w:basedOn w:val="71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6"/>
    <w:basedOn w:val="71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1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2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3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4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5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6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1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2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3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4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5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6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2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3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4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5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6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1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3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4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5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6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2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3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4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5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6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1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3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4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5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6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2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3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4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5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6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1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3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4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5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6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1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2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4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5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6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1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2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3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4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5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6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1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2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3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4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5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6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1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2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3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4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5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6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1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2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3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4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5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6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 w:customStyle="1">
    <w:name w:val="Code"/>
    <w:pPr>
      <w:pBdr/>
      <w:spacing w:after="0" w:line="240" w:lineRule="auto"/>
      <w:ind/>
    </w:pPr>
    <w:rPr>
      <w:rFonts w:ascii="Consolas" w:hAnsi="Consolas"/>
      <w:sz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Вариант 23</dc:title>
  <dc:subject/>
  <dc:creator>Король Алексей Юрьевич</dc:creator>
  <cp:keywords/>
  <dc:description>generated by python-docx</dc:description>
  <cp:revision>2</cp:revision>
  <dcterms:created xsi:type="dcterms:W3CDTF">2013-12-23T23:15:00Z</dcterms:created>
  <dcterms:modified xsi:type="dcterms:W3CDTF">2026-10-11T20:39:15Z</dcterms:modified>
  <cp:category/>
</cp:coreProperties>
</file>