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Донской государственный технический университет</w:t>
      </w:r>
    </w:p>
    <w:p>
      <w:pPr>
        <w:jc w:val="center"/>
      </w:pPr>
      <w:r>
        <w:t>(ДГТУ)</w:t>
      </w:r>
    </w:p>
    <w:p>
      <w:r>
        <w:br/>
        <w:br/>
      </w:r>
    </w:p>
    <w:p>
      <w:pPr>
        <w:jc w:val="center"/>
      </w:pPr>
      <w:r>
        <w:rPr>
          <w:b/>
        </w:rPr>
        <w:t>ЛАБОРАТОРНАЯ РАБОТА № 2</w:t>
      </w:r>
    </w:p>
    <w:p>
      <w:pPr>
        <w:jc w:val="center"/>
      </w:pPr>
      <w:r>
        <w:rPr>
          <w:b/>
        </w:rPr>
        <w:t>Карточка модели, лицензии, происхождение данных и анализ рисков</w:t>
      </w:r>
    </w:p>
    <w:p>
      <w:pPr>
        <w:jc w:val="center"/>
      </w:pPr>
      <w:r>
        <w:rPr>
          <w:b/>
        </w:rPr>
        <w:t>Искусственный интеллект в креативных технологиях</w:t>
      </w:r>
    </w:p>
    <w:p>
      <w:pPr>
        <w:jc w:val="center"/>
      </w:pPr>
      <w:r>
        <w:rPr>
          <w:b/>
        </w:rPr>
        <w:t>Вариант 23</w:t>
      </w:r>
    </w:p>
    <w:p>
      <w:r>
        <w:br/>
        <w:br/>
      </w:r>
    </w:p>
    <w:p>
      <w:pPr>
        <w:jc w:val="right"/>
      </w:pPr>
      <w:r>
        <w:t>Выполнил: Король Алексей Юрьевич</w:t>
      </w:r>
    </w:p>
    <w:p>
      <w:pPr>
        <w:jc w:val="right"/>
      </w:pPr>
      <w:r>
        <w:t>Группа: Т26ИИКТ-МИМО11</w:t>
      </w:r>
    </w:p>
    <w:p>
      <w:pPr>
        <w:jc w:val="right"/>
      </w:pPr>
      <w:r>
        <w:t>Дата выполнения: 11.10.2026</w:t>
      </w:r>
    </w:p>
    <w:p>
      <w:pPr>
        <w:jc w:val="center"/>
      </w:pPr>
      <w:r>
        <w:br/>
        <w:br/>
        <w:t>2026</w:t>
      </w:r>
    </w:p>
    <w:p>
      <w:r>
        <w:br w:type="page"/>
      </w:r>
    </w:p>
    <w:p>
      <w:pPr>
        <w:pStyle w:val="Heading2"/>
      </w:pPr>
      <w:r>
        <w:t>1. Цель и постановка</w:t>
      </w:r>
    </w:p>
    <w:p>
      <w:r>
        <w:t>Цель — проверить происхождение и условия использования учебных данных, принять решения по найденным проблемам, составить паспорт набора, карточку модели и реестр рисков.</w:t>
      </w:r>
    </w:p>
    <w:p>
      <w:r>
        <w:t>Для варианта 23 задан внутренний некоммерческий прототип без публикации. Основной профиль дефектов — персональные данные и разные виды согласий. Создавать сам прототип не требуется.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Поле политики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commercial_use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false — коммерческого использования нет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redistribution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false — публикации и передачи набора нет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derivatives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true — производные создаются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share_alike_acceptable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true — условие ShareAlike допустимо</w:t>
            </w:r>
          </w:p>
        </w:tc>
      </w:tr>
    </w:tbl>
    <w:p>
      <w:pPr>
        <w:spacing w:after="0"/>
      </w:pPr>
    </w:p>
    <w:p>
      <w:r>
        <w:t>Критерии выполнения: решение и обоснование для каждой находки, семь заполненных разделов паспорта данных, девять разделов карточки модели, не менее пяти рисков из минимум четырёх категорий и RESULT: PASS. Для варианта обязательны Information Security и Value Chain and Component Integration.</w:t>
      </w:r>
    </w:p>
    <w:p>
      <w:pPr>
        <w:pStyle w:val="Heading2"/>
      </w:pPr>
      <w:r>
        <w:t>2. Данные и ожидания до аудита</w:t>
      </w:r>
    </w:p>
    <w:p>
      <w:r>
        <w:t>Набор состоит из 12 синтетических записей: по четыре аудио, изображения и текста. Имена файлов, адреса example.org, правообладатели и даты вымышленные. Сами медиаматериалы и документы-согласия не создавались и не загружались. SHA-256 получен от условных строк; он не подтверждает существование реального файла.</w:t>
      </w:r>
    </w:p>
    <w:p>
      <w:r>
        <w:t>В метаданных четыре записи с personal_data=yes. У item01 и item09 указано document, у item04 — none, у item07 — n-a. У item08 отсутствует правообладатель. Лицензии представлены идентификаторами из учебного каталога.</w:t>
      </w:r>
    </w:p>
    <w:p>
      <w:r>
        <w:t>Ожидания записаны после чтения манифеста и до первого запуска аудита, 2026-10-11T22:37:49+03:00. Ожидались две ошибки R6 для item04 и item07 и одно предупреждение R10 для item08. R7 для item01 и item09 не ожидалось, потому что публикация выключена. При этом содержание согласий оставалось неизвестным и требовало ручного решения.</w:t>
      </w:r>
    </w:p>
    <w:p>
      <w:r>
        <w:t>Порядок подтверждён записью ожиданий (expectations.md), её контрольной суммой в снимке среды (environment.json) и временными отметками журнала команд (commands.jsonl). Это локальный журнал, а не внешняя доверенная отметка времени.</w:t>
      </w:r>
    </w:p>
    <w:p>
      <w:pPr>
        <w:pStyle w:val="Heading2"/>
      </w:pPr>
      <w:r>
        <w:t>3. Среда и процедура</w:t>
      </w:r>
    </w:p>
    <w:p>
      <w:r>
        <w:t>Работа выполнена в отдельной папке Лабораторная2 и собственной .venv. Использован CPython 3.14.4, Linux-7.0.0-34-generic-x86_64-with-glibc2.43. Для экспериментальных скриптов сторонние пакеты не нужны; requirements.txt пуст. Оформление DOCX выполняется отдельным инструментом и не меняет зависимости аудита.</w:t>
      </w:r>
    </w:p>
    <w:p>
      <w:r>
        <w:t>Пять скриптов преподавателя сохранены без изменений. Их SHA-256 записаны в environment.json. Из ЛР 1 использована неизменённая копия паспорта варианта 23: inputs/lr01_passport.json. Лицензия исходного учебного кода — MIT; уведомление сохранено в inputs/Trira-MIT.txt.</w:t>
      </w:r>
    </w:p>
    <w:p>
      <w:r>
        <w:t>Основные команды из папки Лабораторная2:</w:t>
      </w:r>
    </w:p>
    <w:p>
      <w:pPr>
        <w:pStyle w:val="Code"/>
      </w:pPr>
      <w:r>
        <w:t>python3 -m venv .venv</w:t>
      </w:r>
    </w:p>
    <w:p>
      <w:pPr>
        <w:pStyle w:val="Code"/>
      </w:pPr>
      <w:r>
        <w:t>.venv/bin/python src/lab02_make_variant.py --variant 23 --out artifacts/v23</w:t>
      </w:r>
    </w:p>
    <w:p>
      <w:r>
        <w:t>После генерации записаны ожидания, затем выполнен аудит:</w:t>
      </w:r>
    </w:p>
    <w:p>
      <w:pPr>
        <w:pStyle w:val="Code"/>
      </w:pPr>
      <w:r>
        <w:t>.venv/bin/python src/lab02_audit.py \</w:t>
      </w:r>
    </w:p>
    <w:p>
      <w:pPr>
        <w:pStyle w:val="Code"/>
      </w:pPr>
      <w:r>
        <w:t xml:space="preserve">  --manifest artifacts/v23/manifest.csv \</w:t>
      </w:r>
    </w:p>
    <w:p>
      <w:pPr>
        <w:pStyle w:val="Code"/>
      </w:pPr>
      <w:r>
        <w:t xml:space="preserve">  --policy artifacts/v23/policy.json \</w:t>
      </w:r>
    </w:p>
    <w:p>
      <w:pPr>
        <w:pStyle w:val="Code"/>
      </w:pPr>
      <w:r>
        <w:t xml:space="preserve">  --out artifacts/v23/audit_original</w:t>
      </w:r>
    </w:p>
    <w:p>
      <w:r>
        <w:t>Фактический вывод: «объектов 12; ошибок 2; предупреждений 1». Полные команды, выводы и коды возврата сохранены в run.log. Код возврата аудита равен 0 даже при находках: это успешное выполнение программы, а не отсутствие проблем.</w:t>
      </w:r>
    </w:p>
    <w:p>
      <w:pPr>
        <w:pStyle w:val="Heading2"/>
      </w:pPr>
      <w:r>
        <w:t>4. Результаты аудита и решения</w:t>
      </w:r>
    </w:p>
    <w:p>
      <w:r>
        <w:t>Ожидания совпали с автоматическими находками.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1191"/>
        <w:gridCol w:w="2041"/>
        <w:gridCol w:w="5443"/>
      </w:tblGrid>
      <w:tr>
        <w:trPr>
          <w:cantSplit/>
          <w:tblHeader/>
        </w:trPr>
        <w:tc>
          <w:tcPr>
            <w:tcW w:type="dxa" w:w="964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Правило</w:t>
            </w:r>
          </w:p>
        </w:tc>
        <w:tc>
          <w:tcPr>
            <w:tcW w:type="dxa" w:w="2041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5443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Решение и основание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item04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R6</w:t>
            </w:r>
          </w:p>
        </w:tc>
        <w:tc>
          <w:tcPr>
            <w:tcW w:type="dxa" w:w="204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Ошибка</w:t>
            </w:r>
          </w:p>
        </w:tc>
        <w:tc>
          <w:tcPr>
            <w:tcW w:type="dxa" w:w="544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Не включать в рабочий поднабор; запросить основание обработки. personal_data=yes при consent=none. В учебной модели документа-согласия нет; отсутствие публикации не устраняет R6.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item07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R6</w:t>
            </w:r>
          </w:p>
        </w:tc>
        <w:tc>
          <w:tcPr>
            <w:tcW w:type="dxa" w:w="204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Ошибка</w:t>
            </w:r>
          </w:p>
        </w:tc>
        <w:tc>
          <w:tcPr>
            <w:tcW w:type="dxa" w:w="544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Не включать в рабочий поднабор; уточнить согласие. personal_data=yes при consent=n-a. Значение «не применимо» не подтверждает документ; по догадке менять его на document нельзя.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item08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R10</w:t>
            </w:r>
          </w:p>
        </w:tc>
        <w:tc>
          <w:tcPr>
            <w:tcW w:type="dxa" w:w="204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Предупреждение</w:t>
            </w:r>
          </w:p>
        </w:tc>
        <w:tc>
          <w:tcPr>
            <w:tcW w:type="dxa" w:w="544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Отложить до установления правообладателя. Записана MIT, но rights_holder пуст. Нельзя подтвердить атрибуцию и источник разрешения. Нестандартные или пропущенные сведения не дополняются догадкой.</w:t>
            </w:r>
          </w:p>
        </w:tc>
      </w:tr>
    </w:tbl>
    <w:p>
      <w:pPr>
        <w:spacing w:after="0"/>
      </w:pPr>
    </w:p>
    <w:p>
      <w:r>
        <w:t>Дополнительно рассмотрены item01 и item09: слово document не позволяет проверить содержание документа. Оба объекта отложены до проверки относимости, цели обработки, допустимых изменений, доступа, срока и порядка отзыва. Поскольку публикация не планируется, разрешение на публикацию не предъявляется как требование к текущему сценарию; оно проверяется перед его изменением.</w:t>
      </w:r>
    </w:p>
    <w:p>
      <w:r>
        <w:t>Инженерное решение — не включать пять спорных записей в рабочий поднабор. В карантине находятся item01, item04, item07, item08 и item09. Остались семь кандидатов: item02, item03, item05, item06, item10, item11 и item12. Для них также зафиксированы основания решений. Карантин сохраняет исходную запись и не означает её безвозвратное удаление.</w:t>
      </w:r>
    </w:p>
    <w:p>
      <w:r>
        <w:t>Исходный manifest.csv не изменялся. Рабочий и карантинный манифесты различаются только составом записей. Полный список решений находится в decisions.csv (../artifacts/v23/decisions.csv), решения по находкам — в audit_decisions.md (../artifacts/v23/audit_decisions.md).</w:t>
      </w:r>
    </w:p>
    <w:p>
      <w:r>
        <w:t>Согласия и разрешения у реальных лиц не запрашивались: набор вымышленный. Запрос документов здесь — сформулированный следующий шаг для реального проекта, а не выполненное действие.</w:t>
      </w:r>
    </w:p>
    <w:p>
      <w:pPr>
        <w:pStyle w:val="Heading2"/>
      </w:pPr>
      <w:r>
        <w:t>5. Дополнительные проверки и пределы автоматики</w:t>
      </w:r>
    </w:p>
    <w:p>
      <w:r>
        <w:t>После записи отдельного плана выполнены две проверки состава и политики.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020"/>
        <w:gridCol w:w="1757"/>
        <w:gridCol w:w="3458"/>
      </w:tblGrid>
      <w:tr>
        <w:trPr>
          <w:cantSplit/>
          <w:tblHeader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1020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Ошибки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Предупреждения</w:t>
            </w:r>
          </w:p>
        </w:tc>
        <w:tc>
          <w:tcPr>
            <w:tcW w:type="dxa" w:w="3458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Объяснение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Исходные 12 записей, внутренний сценарий</w:t>
            </w:r>
          </w:p>
        </w:tc>
        <w:tc>
          <w:tcPr>
            <w:tcW w:type="dxa" w:w="102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45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R6 для item04 и item07; R10 для item08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Рабочие 7 записей, тот же сценарий</w:t>
            </w:r>
          </w:p>
        </w:tc>
        <w:tc>
          <w:tcPr>
            <w:tcW w:type="dxa" w:w="102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type="dxa" w:w="345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Спорные записи не включены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Исходные 12 записей, redistribution=true</w:t>
            </w:r>
          </w:p>
        </w:tc>
        <w:tc>
          <w:tcPr>
            <w:tcW w:type="dxa" w:w="102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345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Дополнительно R7 для item01 и item09</w:t>
            </w:r>
          </w:p>
        </w:tc>
      </w:tr>
    </w:tbl>
    <w:p>
      <w:pPr>
        <w:spacing w:after="0"/>
      </w:pPr>
    </w:p>
    <w:p>
      <w:r>
        <w:t>Последняя проверка — диагностический сценарий: исходная политика варианта остаётся прежней. Результат показывает, что молчание R7 зависит от флага публикации, а не от качества согласия.</w:t>
      </w:r>
    </w:p>
    <w:p>
      <w:r>
        <w:t>Нулевое число находок означает лишь отсутствие противоречий по записанным данным и десяти правилам. Программа не проверяет существование источника, подлинность лицензии, содержание согласия, полномочия подписанта, срок действия, достоверность признака personal_data или фактические файлы.</w:t>
      </w:r>
    </w:p>
    <w:p>
      <w:r>
        <w:t>Лицензия входного материала, лицензия кода/весов модели и права на результат рассматриваются раздельно. Creative Commons также указывает, что иные права могут ограничивать использование материала; запись лицензии не заменяет проверку личных прав [4]. В реальном проекте нужны первоисточники, подтверждающие документы и решение ответственного специалиста о применимом основании обработки. Это учебный анализ, не юридическая консультация.</w:t>
      </w:r>
    </w:p>
    <w:p>
      <w:pPr>
        <w:pStyle w:val="Heading2"/>
      </w:pPr>
      <w:r>
        <w:t>6. Паспорт данных и карточка модели</w:t>
      </w:r>
    </w:p>
    <w:p>
      <w:r>
        <w:t>В паспорте набора (../artifacts/v23/data_card.md) заполнены семь разделов: мотивация, состав, сбор, обработка, использование, распространение и сопровождение. Указаны исходные 12 записей, рабочие 7 и карантинные 5, порядок возврата из карантина и ограничения.</w:t>
      </w:r>
    </w:p>
    <w:p>
      <w:r>
        <w:t>Карточка модели (../artifacts/v23/model_card.md) составлена для генератора текстур из ЛР 1. Это процедурный алгоритм, а не обучаемая нейросеть: весов и обучающих данных нет. Набор ЛР 2 в него не подавался. В карточку перенесены реальные результаты варианта 23: при n=5 энтропия снизилась с 7,142467 до 3,086863 бита; для остальных метрик влияние не обнаружено по правилу 2s.</w:t>
      </w:r>
    </w:p>
    <w:p>
      <w:r>
        <w:t>Автоматическая заготовка дополнена лицензией MIT, ответственным, точными seed и границами применения. Формальный вывод генератора карточки «критичных пробелов не выявлено» не принят как доказательство полноты: отдельно описаны сведения, которые для реальных моделей пришлось бы устанавливать дополнительно.</w:t>
      </w:r>
    </w:p>
    <w:p>
      <w:r>
        <w:t>Полные тексты обоих документов включены в приложения А и Б отчёта Word.</w:t>
      </w:r>
    </w:p>
    <w:p>
      <w:pPr>
        <w:pStyle w:val="Heading2"/>
      </w:pPr>
      <w:r>
        <w:t>7. Реестр рисков и проверка</w:t>
      </w:r>
    </w:p>
    <w:p>
      <w:r>
        <w:t>Составлены шесть рисков из шести категорий NIST AI 600-1 [1]. Обе обязательные категории включены. Оценки L и I заданы по учебной шкале 1–5, R=L×I. Это субъективный приоритет до мер, а не измеренная вероятность инцидента.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93"/>
        <w:gridCol w:w="850"/>
        <w:gridCol w:w="850"/>
        <w:gridCol w:w="850"/>
      </w:tblGrid>
      <w:tr>
        <w:trPr>
          <w:cantSplit/>
          <w:tblHeader/>
        </w:trPr>
        <w:tc>
          <w:tcPr>
            <w:tcW w:type="dxa" w:w="794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293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L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I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R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R01</w:t>
            </w:r>
          </w:p>
        </w:tc>
        <w:tc>
          <w:tcPr>
            <w:tcW w:type="dxa" w:w="629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Data Privacy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R05</w:t>
            </w:r>
          </w:p>
        </w:tc>
        <w:tc>
          <w:tcPr>
            <w:tcW w:type="dxa" w:w="629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Human-AI Configuration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R02</w:t>
            </w:r>
          </w:p>
        </w:tc>
        <w:tc>
          <w:tcPr>
            <w:tcW w:type="dxa" w:w="629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Information Security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R03</w:t>
            </w:r>
          </w:p>
        </w:tc>
        <w:tc>
          <w:tcPr>
            <w:tcW w:type="dxa" w:w="629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Value Chain and Component Integration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R04</w:t>
            </w:r>
          </w:p>
        </w:tc>
        <w:tc>
          <w:tcPr>
            <w:tcW w:type="dxa" w:w="629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Intellectual Property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R06</w:t>
            </w:r>
          </w:p>
        </w:tc>
        <w:tc>
          <w:tcPr>
            <w:tcW w:type="dxa" w:w="6293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Information Integrity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9</w:t>
            </w:r>
          </w:p>
        </w:tc>
      </w:tr>
    </w:tbl>
    <w:p>
      <w:pPr>
        <w:spacing w:after="0"/>
      </w:pPr>
    </w:p>
    <w:p>
      <w:r>
        <w:t>Для каждой позиции записаны конкретные описание, мера, ответственная роль и наблюдаемый признак наступления. Реальные инциденты не заявляются. Полный реестр (../artifacts/v23/risk_register.csv) и обоснование оценок (risk_rationale.md) сохранены отдельно; в Word реестр включён в приложение В.</w:t>
      </w:r>
    </w:p>
    <w:p>
      <w:pPr>
        <w:pStyle w:val="Code"/>
      </w:pPr>
      <w:r>
        <w:t>.venv/bin/python src/lab02_risks.py \</w:t>
      </w:r>
    </w:p>
    <w:p>
      <w:pPr>
        <w:pStyle w:val="Code"/>
      </w:pPr>
      <w:r>
        <w:t xml:space="preserve">  --csv artifacts/v23/risk_register.csv \</w:t>
      </w:r>
    </w:p>
    <w:p>
      <w:pPr>
        <w:pStyle w:val="Code"/>
      </w:pPr>
      <w:r>
        <w:t xml:space="preserve">  --out artifacts/v23/risk_ranking.md</w:t>
      </w:r>
    </w:p>
    <w:p>
      <w:r>
        <w:t>Получено RESULT: PASS, код возврата 0. Присутствие обязательных категорий проверено дополнительно, поскольку скрипт проверяет общий перечень и число категорий, но не требования конкретного варианта.</w:t>
      </w:r>
    </w:p>
    <w:p>
      <w:r>
        <w:t>Для диагностики отдельно создан испорченный реестр из трёх строк: категория Copyright, оценка 7 и пустой owner. Проверка вернула пять ошибок и RESULT: FAIL (5), код возврата 1. После применения корректного реестра получен PASS. Исходный и исправленный файлы разделены; результаты обоих запусков находятся в журнале.</w:t>
      </w:r>
    </w:p>
    <w:p>
      <w:pPr>
        <w:pStyle w:val="Heading2"/>
      </w:pPr>
      <w:r>
        <w:t>8. Вывод</w:t>
      </w:r>
    </w:p>
    <w:p>
      <w:r>
        <w:t>В исходном наборе выявлены две ошибки согласий и одно предупреждение о правообладателе. Все находки разобраны, решения приняты по всем 12 объектам. Пять спорных объектов отложены, семь оставлены кандидатами в рабочем поднаборе. Для реального использования этих семи записей потребовалась бы проверка первоисточников; юридическое разрешение результатом аудита не является.</w:t>
      </w:r>
    </w:p>
    <w:p>
      <w:r>
        <w:t>Паспорт данных и карточка модели заполнены, реестр из шести рисков прошёл проверку. Проверка смены политики показала ограничение R7, а намеренная ошибка реестра позволила проверить диагностику валидатора. Цель работы достигнута: решения по данным можно проследить от политики и находок до мер и ограничений.</w:t>
      </w:r>
    </w:p>
    <w:p>
      <w:r>
        <w:t>Engee в задании ЛР 2 не требуется. Все проверки выполнены локально; сведения о модели взяты из сохранённого паспорта ЛР 1.</w:t>
      </w:r>
    </w:p>
    <w:p>
      <w:pPr>
        <w:pStyle w:val="Heading2"/>
      </w:pPr>
      <w:r>
        <w:t>9. Артефакты и источники</w:t>
      </w:r>
    </w:p>
    <w:p>
      <w:r>
        <w:t>Репозиторий: https://github.com/LeeDef18/AI_creative_tech, папка Лабораторная2. Архив после публикации доступен через Code → Download ZIP. Основные файлы и команды повторения перечислены в README (../README.md).</w:t>
      </w:r>
    </w:p>
    <w:p>
      <w:r>
        <w:t>1. NIST AI 600-1, July 2024 (https://nvlpubs.nist.gov/nistpubs/ai/NIST.AI.600-1.pdf), раздел 2.</w:t>
      </w:r>
    </w:p>
    <w:p>
      <w:r>
        <w:t>2. Gebru и др. Datasheets for Datasets (https://arxiv.org/abs/1803.09010).</w:t>
      </w:r>
    </w:p>
    <w:p>
      <w:r>
        <w:t>3. Mitchell и др. Model Cards for Model Reporting (https://arxiv.org/abs/1810.03993).</w:t>
      </w:r>
    </w:p>
    <w:p>
      <w:r>
        <w:t>4. Creative Commons, CC BY 4.0 (https://creativecommons.org/licenses/by/4.0/).</w:t>
      </w:r>
    </w:p>
    <w:p>
      <w:r>
        <w:t>5. Методические указания ЛР 2 (../lab2.md), вариант 23.</w:t>
      </w:r>
    </w:p>
    <w:p>
      <w:r>
        <w:t>Первоисточники проверены 11.10.2026. Выводы по объектам основаны на учебном манифесте; правовые гарантии не даются.</w:t>
      </w:r>
    </w:p>
    <w:p>
      <w:r>
        <w:br w:type="page"/>
      </w:r>
    </w:p>
    <w:p>
      <w:pPr>
        <w:pStyle w:val="Heading1"/>
      </w:pPr>
      <w:r>
        <w:t>Приложение А. Паспорт набора данных</w:t>
      </w:r>
    </w:p>
    <w:p>
      <w:r>
        <w:t>Версия документа: 1.0. Набор — синтетический манифест, не коллекция реальных медиаматериалов. Сценарий: внутренний некоммерческий прототип без публикации.</w:t>
      </w:r>
    </w:p>
    <w:p>
      <w:pPr>
        <w:pStyle w:val="Heading2"/>
      </w:pPr>
      <w:r>
        <w:t>1. Motivation (мотивация)</w:t>
      </w:r>
    </w:p>
    <w:p>
      <w:r>
        <w:t>Набор создан для обучения проверке происхождения, условий использования и согласий. Пользователь набора — разработчик внутреннего прототипа; результат проверки нужен для принятия решения о составе рабочего поднабора. В данной лабораторной прототип не реализуется.</w:t>
      </w:r>
    </w:p>
    <w:p>
      <w:pPr>
        <w:pStyle w:val="Heading2"/>
      </w:pPr>
      <w:r>
        <w:t>2. Composition (состав)</w:t>
      </w:r>
    </w:p>
    <w:p>
      <w:r>
        <w:t>Исходный манифест содержит 12 записей: audio — 4, image — 4, text — 4. Каждая запись имеет id, условное имя файла, тип, источник, дату, лицензию, правообладателя, признак персональных данных, согласие и sha256. Лицензии: Apache-2.0 — 3, CC-BY-4.0 — 2, CC0-1.0 — 2, MIT — 5.</w:t>
      </w:r>
    </w:p>
    <w:p>
      <w:r>
        <w:t>У четырёх записей personal_data=yes: item01 и item09 имеют document, item04 — none, item07 — n-a. Это условные признаки учебных объектов; реальных личных сведений в наборе нет. У item08 не указан правообладатель.</w:t>
      </w:r>
    </w:p>
    <w:p>
      <w:r>
        <w:t>В рабочем поднаборе 7 записей: audio — 1, image — 3, text — 3; лицензии: Apache-2.0 — 2, CC-BY-4.0 — 2, CC0-1.0 — 1, MIT — 2. Все имеют personal_data=no. Пять записей находятся в карантине. Каталог учебных условий помечает 10 исходных и 6 рабочих записей как требующие атрибуции; для реальных объектов необходима проверка полного текста условий, включая уведомления.</w:t>
      </w:r>
    </w:p>
    <w:p>
      <w:pPr>
        <w:pStyle w:val="Heading2"/>
      </w:pPr>
      <w:r>
        <w:t>3. Collection Process (процесс сбора)</w:t>
      </w:r>
    </w:p>
    <w:p>
      <w:r>
        <w:t>Метаданные сгенерированы lab02_make_variant.py для variant=23 с локальным random.Random(1023). Сетевой сбор не выполнялся. Домены example.org, правообладатели и даты являются вымышленными. Диапазон дат в метаданных: 2026-03-07 — 2026-08-23; это не даты фактического получения файлов. Реальная дата запуска находится в reports/commands.jsonl.</w:t>
      </w:r>
    </w:p>
    <w:p>
      <w:r>
        <w:t>sha256 вычислен от строки variant23-itemXX. Он нужен для учебных проверок и не подтверждает существование или содержимое файла. Документы-согласия не приложены; поле document — только декларация в строке.</w:t>
      </w:r>
    </w:p>
    <w:p>
      <w:pPr>
        <w:pStyle w:val="Heading2"/>
      </w:pPr>
      <w:r>
        <w:t>4. Preprocessing/cleaning/labeling (обработка и разметка)</w:t>
      </w:r>
    </w:p>
    <w:p>
      <w:r>
        <w:t>Исходный manifest.csv сохранён без исправлений. В manifest_quarantine.csv выделены item01, item04, item07, item08 и item09. Оставшиеся item02, item03, item05, item06, item10, item11 и item12 записаны в manifest_working.csv. Значения полей не изменялись; разметка и обработка медиаданных не выполнялись.</w:t>
      </w:r>
    </w:p>
    <w:p>
      <w:r>
        <w:t>Решения и основания по всем 12 объектам находятся в decisions.csv. Аудит исходного набора: 2 ошибки R6 и 1 предупреждение R10. После отбора рабочий манифест не имеет находок R1–R10, но его источники и права не подтверждены независимой проверкой.</w:t>
      </w:r>
    </w:p>
    <w:p>
      <w:pPr>
        <w:pStyle w:val="Heading2"/>
      </w:pPr>
      <w:r>
        <w:t>5. Uses (использование)</w:t>
      </w:r>
    </w:p>
    <w:p>
      <w:r>
        <w:t>Предполагается внутреннее некоммерческое использование с созданием производных, без публикации или передачи набора. Для учебного анализа пригодны все синтетические записи, включая дефектные. Для гипотетического рабочего прототипа сформирован поднабор кандидатов из семи записей.</w:t>
      </w:r>
    </w:p>
    <w:p>
      <w:r>
        <w:t>Набор не является разрешением на обработку реальных персональных данных, обучающим набором генератора ЛР 1 или доказательством наличия действительных согласий. При переходе к коммерческому применению, внешнему сервису или публикации политика и решения пересматриваются.</w:t>
      </w:r>
    </w:p>
    <w:p>
      <w:pPr>
        <w:pStyle w:val="Heading2"/>
      </w:pPr>
      <w:r>
        <w:t>6. Distribution (распространение)</w:t>
      </w:r>
    </w:p>
    <w:p>
      <w:r>
        <w:t>Политика варианта запрещает публикацию предполагаемых исходных материалов. В учебный GitHub-репозиторий помещаются только синтетические метаданные, скрипты и отчёты; реальные файлы и согласия не загружаются. Условия отдельных записей не заменяются единой лицензией репозитория.</w:t>
      </w:r>
    </w:p>
    <w:p>
      <w:r>
        <w:t>Правообладатели и условия сохраняются в манифесте. Отсутствие внешней публикации не является основанием игнорировать происхождение или согласия.</w:t>
      </w:r>
    </w:p>
    <w:p>
      <w:pPr>
        <w:pStyle w:val="Heading2"/>
      </w:pPr>
      <w:r>
        <w:t>7. Maintenance (сопровождение)</w:t>
      </w:r>
    </w:p>
    <w:p>
      <w:r>
        <w:t>За документацию учебной работы отвечает Король Алексей Юрьевич. В реальном проекте куратор данных принимает изменения и запросы на исправление или удаление, фиксирует затронутые id и приостанавливает использование спорного объекта. Подтверждающие документы хранятся в ограниченном доступе; в публичный журнал их содержимое не попадает.</w:t>
      </w:r>
    </w:p>
    <w:p>
      <w:r>
        <w:t>Новая версия набора формируется после проверки запроса: меняются состав или подтверждённые метаданные, обновляется журнал решений и повторяется аудит. Возврат из карантина допускается только после документированного решения. В этой лабораторной реальные запросы и документы отсутствуют.</w:t>
      </w:r>
    </w:p>
    <w:p>
      <w:r>
        <w:br w:type="page"/>
      </w:r>
    </w:p>
    <w:p>
      <w:pPr>
        <w:pStyle w:val="Heading1"/>
      </w:pPr>
      <w:r>
        <w:t>Приложение Б. Карточка модели</w:t>
      </w:r>
    </w:p>
    <w:p>
      <w:r>
        <w:t>Источник измерений: inputs/lr01_passport.json — сохранённая копия паспорта ЛР 1, вариант 23, запуск 2026-10-11 14:28:50 UTC. Формат из девяти разделов применён к учебному процедурному алгоритму.</w:t>
      </w:r>
    </w:p>
    <w:p>
      <w:pPr>
        <w:pStyle w:val="Heading2"/>
      </w:pPr>
      <w:r>
        <w:t>Model Details (сведения о модели)</w:t>
      </w:r>
    </w:p>
    <w:p>
      <w:r>
        <w:t>lab01_generator.py, версия 1.0. Тип — детерминированный генератор шума значений с несколькими октавами. Обучение не выполняется, весов модели нет. Лицензия кода — MIT; уведомление исходного учебного кода сохранено в inputs/Trira-MIT.txt. За карточку и воспроизведение учебного эксперимента отвечает Король Алексей Юрьевич; авторство исходного генератора не присваивается.</w:t>
      </w:r>
    </w:p>
    <w:p>
      <w:r>
        <w:t>Среда измерений: CPython 3.14.4, Linux-7.0.0-34-generic-x86_64-with-glibc2.43, zlib 1.3.1. Контрольные суммы исходных скриптов приведены в копии паспорта ЛР 1.</w:t>
      </w:r>
    </w:p>
    <w:p>
      <w:pPr>
        <w:pStyle w:val="Heading2"/>
      </w:pPr>
      <w:r>
        <w:t>Intended Use (назначение)</w:t>
      </w:r>
    </w:p>
    <w:p>
      <w:r>
        <w:t>Отработка воспроизводимости: фиксировать seed, параметры и среду, сравнивать полные массивы, оценивать разброс и действие одного фактора. Исследуемый контекст — водная рябь как фон видеозаставки. Измерения не подтверждают эстетическое качество, безопасность или пригодность к выпуску продукта.</w:t>
      </w:r>
    </w:p>
    <w:p>
      <w:pPr>
        <w:pStyle w:val="Heading2"/>
      </w:pPr>
      <w:r>
        <w:t>Factors (факторы)</w:t>
      </w:r>
    </w:p>
    <w:p>
      <w:r>
        <w:t>База: size=96, cell=8, octaves=4, persistence=0.45, quantize=8, interp=smooth. Изученное изменение — quantize=4; остальные параметры фиксированы. Seed серии 101–105, n=5; проверка воспроизводимости — 101, 101, 1101, 101. Данных о людях и демографических группах в генераторе нет.</w:t>
      </w:r>
    </w:p>
    <w:p>
      <w:pPr>
        <w:pStyle w:val="Heading2"/>
      </w:pPr>
      <w:r>
        <w:t>Metrics (метрики)</w:t>
      </w:r>
    </w:p>
    <w:p>
      <w:r>
        <w:t>Средняя яркость, контраст, граничная энергия по горизонтальным соседям и энтропия гистограммы. Первые три нормированы на 255. Разброс между seed — выборочное s с делителем n−1. Критерий влияния — |Δ| &gt; 2s_base; это учебное правило, не статистический тест.</w:t>
      </w:r>
    </w:p>
    <w:p>
      <w:pPr>
        <w:pStyle w:val="Heading2"/>
      </w:pPr>
      <w:r>
        <w:t>Evaluation Data (данные для оценки)</w:t>
      </w:r>
    </w:p>
    <w:p>
      <w:r>
        <w:t>Пять базовых и пять изменённых изображений, полученных самим генератором при seed 101–105, а также четыре запуска протокола воспроизводимости. Это синтетические данные. Манифест из 12 записей ЛР 2 в генератор не подавался и не использовался для оценки его качества.</w:t>
      </w:r>
    </w:p>
    <w:p>
      <w:pPr>
        <w:pStyle w:val="Heading2"/>
      </w:pPr>
      <w:r>
        <w:t>Training Data (обучающие данные)</w:t>
      </w:r>
    </w:p>
    <w:p>
      <w:r>
        <w:t>Отсутствуют: алгоритм не обучается. Раздел применим как явная фиксация отсутствия обучения, а не оставлен пустым.</w:t>
      </w:r>
    </w:p>
    <w:p>
      <w:pPr>
        <w:pStyle w:val="Heading2"/>
      </w:pPr>
      <w:r>
        <w:t>Quantitative Analyses (количественный анализ)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871"/>
        <w:gridCol w:w="1474"/>
        <w:gridCol w:w="2268"/>
        <w:gridCol w:w="2608"/>
      </w:tblGrid>
      <w:tr>
        <w:trPr>
          <w:cantSplit/>
          <w:tblHeader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1871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Среднее базы</w:t>
            </w:r>
          </w:p>
        </w:tc>
        <w:tc>
          <w:tcPr>
            <w:tcW w:type="dxa" w:w="1474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s базы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Среднее при 4 битах</w:t>
            </w:r>
          </w:p>
        </w:tc>
        <w:tc>
          <w:tcPr>
            <w:tcW w:type="dxa" w:w="2608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Вывод при n=5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mean</w:t>
            </w:r>
          </w:p>
        </w:tc>
        <w:tc>
          <w:tcPr>
            <w:tcW w:type="dxa" w:w="187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0.502004</w:t>
            </w:r>
          </w:p>
        </w:tc>
        <w:tc>
          <w:tcPr>
            <w:tcW w:type="dxa" w:w="147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0.017318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0.502205</w:t>
            </w:r>
          </w:p>
        </w:tc>
        <w:tc>
          <w:tcPr>
            <w:tcW w:type="dxa" w:w="260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Не обнаружено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contrast</w:t>
            </w:r>
          </w:p>
        </w:tc>
        <w:tc>
          <w:tcPr>
            <w:tcW w:type="dxa" w:w="187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0.137567</w:t>
            </w:r>
          </w:p>
        </w:tc>
        <w:tc>
          <w:tcPr>
            <w:tcW w:type="dxa" w:w="147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0.003988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0.138882</w:t>
            </w:r>
          </w:p>
        </w:tc>
        <w:tc>
          <w:tcPr>
            <w:tcW w:type="dxa" w:w="260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Не обнаружено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edge</w:t>
            </w:r>
          </w:p>
        </w:tc>
        <w:tc>
          <w:tcPr>
            <w:tcW w:type="dxa" w:w="187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0.037250</w:t>
            </w:r>
          </w:p>
        </w:tc>
        <w:tc>
          <w:tcPr>
            <w:tcW w:type="dxa" w:w="147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0.000636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0.037349</w:t>
            </w:r>
          </w:p>
        </w:tc>
        <w:tc>
          <w:tcPr>
            <w:tcW w:type="dxa" w:w="260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Не обнаружено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entropy</w:t>
            </w:r>
          </w:p>
        </w:tc>
        <w:tc>
          <w:tcPr>
            <w:tcW w:type="dxa" w:w="1871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7.142467</w:t>
            </w:r>
          </w:p>
        </w:tc>
        <w:tc>
          <w:tcPr>
            <w:tcW w:type="dxa" w:w="147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0.041641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3.086863</w:t>
            </w:r>
          </w:p>
        </w:tc>
        <w:tc>
          <w:tcPr>
            <w:tcW w:type="dxa" w:w="260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Существенно</w:t>
            </w:r>
          </w:p>
        </w:tc>
      </w:tr>
    </w:tbl>
    <w:p>
      <w:pPr>
        <w:spacing w:after="0"/>
      </w:pPr>
    </w:p>
    <w:p>
      <w:r>
        <w:t>Протокол EQ_1_2, EQ_1_4, EQ_1_3, EQ_2_4: true, true, false, true. Для энтропии отношение |Δ|/s_base = 97.40; снижение обнаружено. Для остальных метрик влияние не обнаружено при n=5. Значения относятся к конкретным параметрам и seed, не являются оценкой всех режимов генератора.</w:t>
      </w:r>
    </w:p>
    <w:p>
      <w:pPr>
        <w:pStyle w:val="Heading2"/>
      </w:pPr>
      <w:r>
        <w:t>Ethical Considerations (этические аспекты)</w:t>
      </w:r>
    </w:p>
    <w:p>
      <w:r>
        <w:t>Генератор не использует внешние изображения или персональные данные. Лицензия кода, условия входных данных и права на результат — разные вопросы. Для этого алгоритма лицензия весов неприменима, потому что весов нет. Карточка не даёт универсальной гарантии прав на любой результат и не заменяет анализ реального сценария использования.</w:t>
      </w:r>
    </w:p>
    <w:p>
      <w:pPr>
        <w:pStyle w:val="Heading2"/>
      </w:pPr>
      <w:r>
        <w:t>Caveats and Recommendations (ограничения и рекомендации)</w:t>
      </w:r>
    </w:p>
    <w:p>
      <w:r>
        <w:t>Малая серия n=5, один генератор, статистика яркости вместо оценки восприятия. Наличие паспорта не гарантирует побитовое совпадение при произвольной смене среды. Критерий 2s упрощён.</w:t>
      </w:r>
    </w:p>
    <w:p>
      <w:r>
        <w:t>При составлении карточки уточнены лицензия кода и ответственный: исходный скрипт lab02_model_card.py не извлекает их автоматически из паспорта и без параметров оставляет «не указано». Параметры --code-license MIT и --owner переданы явно. Автоматический вывод об отсутствии критичных пробелов заменён конкретным описанием того, что установлено и что не проверялось.</w:t>
      </w:r>
    </w:p>
    <w:p>
      <w:r>
        <w:t>Для реальной обучаемой модели дополнительно понадобятся ревизия и лицензия весов, происхождение обучающих данных, ограничения и проверки целевого применения. Эти сведения не следует выдумывать по паспорту процедурного генератора.</w:t>
      </w:r>
    </w:p>
    <w:p>
      <w:r>
        <w:br w:type="page"/>
      </w:r>
    </w:p>
    <w:p>
      <w:pPr>
        <w:pStyle w:val="Heading1"/>
      </w:pPr>
      <w:r>
        <w:t>Приложение В. Реестр рисков</w:t>
      </w:r>
    </w:p>
    <w:p>
      <w:pPr>
        <w:pStyle w:val="Heading2"/>
      </w:pPr>
      <w:r>
        <w:t>R01. Data Privacy</w:t>
      </w:r>
    </w:p>
    <w:p>
      <w:r>
        <w:rPr>
          <w:b/>
        </w:rPr>
        <w:t xml:space="preserve">Описание: </w:t>
      </w:r>
      <w:r>
        <w:t>В прототип включены записи с персональными данными без проверенного основания обработки</w:t>
      </w:r>
    </w:p>
    <w:p>
      <w:r>
        <w:rPr>
          <w:b/>
        </w:rPr>
        <w:t xml:space="preserve">Мера: </w:t>
      </w:r>
      <w:r>
        <w:t>Карантин item04 и item07; item01 и item09 допускаются только после содержательной проверки документов</w:t>
      </w:r>
    </w:p>
    <w:p>
      <w:r>
        <w:rPr>
          <w:b/>
        </w:rPr>
        <w:t xml:space="preserve">Ответственная роль: </w:t>
      </w:r>
      <w:r>
        <w:t>куратор данных</w:t>
      </w:r>
    </w:p>
    <w:p>
      <w:r>
        <w:rPr>
          <w:b/>
        </w:rPr>
        <w:t xml:space="preserve">Признак наступления: </w:t>
      </w:r>
      <w:r>
        <w:t>В рабочем манифесте появилась запись personal_data=yes без зарегистрированного решения по документу</w:t>
      </w:r>
    </w:p>
    <w:p>
      <w:r>
        <w:t>L = 4; I = 5; R = 20.</w:t>
      </w:r>
    </w:p>
    <w:p>
      <w:pPr>
        <w:pStyle w:val="Heading2"/>
      </w:pPr>
      <w:r>
        <w:t>R02. Information Security</w:t>
      </w:r>
    </w:p>
    <w:p>
      <w:r>
        <w:rPr>
          <w:b/>
        </w:rPr>
        <w:t xml:space="preserve">Описание: </w:t>
      </w:r>
      <w:r>
        <w:t>Материалы внутреннего прототипа случайно переданы наружу через репозиторий или внешний сервис</w:t>
      </w:r>
    </w:p>
    <w:p>
      <w:r>
        <w:rPr>
          <w:b/>
        </w:rPr>
        <w:t xml:space="preserve">Мера: </w:t>
      </w:r>
      <w:r>
        <w:t>Ограничить доступ и экспорт; проверять состав выгрузки; учебный репозиторий содержит только синтетические записи</w:t>
      </w:r>
    </w:p>
    <w:p>
      <w:r>
        <w:rPr>
          <w:b/>
        </w:rPr>
        <w:t xml:space="preserve">Ответственная роль: </w:t>
      </w:r>
      <w:r>
        <w:t>ответственный за информационную безопасность</w:t>
      </w:r>
    </w:p>
    <w:p>
      <w:r>
        <w:rPr>
          <w:b/>
        </w:rPr>
        <w:t xml:space="preserve">Признак наступления: </w:t>
      </w:r>
      <w:r>
        <w:t>В журнале доступа или списке выгрузки обнаружена передача исходных материалов внешнему получателю</w:t>
      </w:r>
    </w:p>
    <w:p>
      <w:r>
        <w:t>L = 3; I = 5; R = 15.</w:t>
      </w:r>
    </w:p>
    <w:p>
      <w:pPr>
        <w:pStyle w:val="Heading2"/>
      </w:pPr>
      <w:r>
        <w:t>R03. Value Chain and Component Integration</w:t>
      </w:r>
    </w:p>
    <w:p>
      <w:r>
        <w:rPr>
          <w:b/>
        </w:rPr>
        <w:t xml:space="preserve">Описание: </w:t>
      </w:r>
      <w:r>
        <w:t>В состав прототипа включён сторонний материал с неустановленным правообладателем</w:t>
      </w:r>
    </w:p>
    <w:p>
      <w:r>
        <w:rPr>
          <w:b/>
        </w:rPr>
        <w:t xml:space="preserve">Мера: </w:t>
      </w:r>
      <w:r>
        <w:t>Карантин item08; проверять происхождение компонента и хранить версию манифеста с подтверждениями</w:t>
      </w:r>
    </w:p>
    <w:p>
      <w:r>
        <w:rPr>
          <w:b/>
        </w:rPr>
        <w:t xml:space="preserve">Ответственная роль: </w:t>
      </w:r>
      <w:r>
        <w:t>куратор данных</w:t>
      </w:r>
    </w:p>
    <w:p>
      <w:r>
        <w:rPr>
          <w:b/>
        </w:rPr>
        <w:t xml:space="preserve">Признак наступления: </w:t>
      </w:r>
      <w:r>
        <w:t>В рабочем манифесте найден пустой rights_holder или материал без прослеживаемого источника</w:t>
      </w:r>
    </w:p>
    <w:p>
      <w:r>
        <w:t>L = 3; I = 4; R = 12.</w:t>
      </w:r>
    </w:p>
    <w:p>
      <w:pPr>
        <w:pStyle w:val="Heading2"/>
      </w:pPr>
      <w:r>
        <w:t>R04. Intellectual Property</w:t>
      </w:r>
    </w:p>
    <w:p>
      <w:r>
        <w:rPr>
          <w:b/>
        </w:rPr>
        <w:t xml:space="preserve">Описание: </w:t>
      </w:r>
      <w:r>
        <w:t>При включении материалов в прототип потеряны авторство или обязательные лицензионные уведомления</w:t>
      </w:r>
    </w:p>
    <w:p>
      <w:r>
        <w:rPr>
          <w:b/>
        </w:rPr>
        <w:t xml:space="preserve">Мера: </w:t>
      </w:r>
      <w:r>
        <w:t>Сохранять лицензию и сведения об авторе для каждого объекта; перед реальным использованием сверить исходный текст условий</w:t>
      </w:r>
    </w:p>
    <w:p>
      <w:r>
        <w:rPr>
          <w:b/>
        </w:rPr>
        <w:t xml:space="preserve">Ответственная роль: </w:t>
      </w:r>
      <w:r>
        <w:t>ответственный за лицензии</w:t>
      </w:r>
    </w:p>
    <w:p>
      <w:r>
        <w:rPr>
          <w:b/>
        </w:rPr>
        <w:t xml:space="preserve">Признак наступления: </w:t>
      </w:r>
      <w:r>
        <w:t>В комплекте компонента отсутствует требуемое лицензионное уведомление или указание автора</w:t>
      </w:r>
    </w:p>
    <w:p>
      <w:r>
        <w:t>L = 3; I = 4; R = 12.</w:t>
      </w:r>
    </w:p>
    <w:p>
      <w:pPr>
        <w:pStyle w:val="Heading2"/>
      </w:pPr>
      <w:r>
        <w:t>R05. Human-AI Configuration</w:t>
      </w:r>
    </w:p>
    <w:p>
      <w:r>
        <w:rPr>
          <w:b/>
        </w:rPr>
        <w:t xml:space="preserve">Описание: </w:t>
      </w:r>
      <w:r>
        <w:t>Решение об использовании принято только по отсутствию ошибок автоматического аудита</w:t>
      </w:r>
    </w:p>
    <w:p>
      <w:r>
        <w:rPr>
          <w:b/>
        </w:rPr>
        <w:t xml:space="preserve">Мера: </w:t>
      </w:r>
      <w:r>
        <w:t>Разделить автоматическую проверку и ручной допуск; отдельно проверять document даже при отсутствии R7</w:t>
      </w:r>
    </w:p>
    <w:p>
      <w:r>
        <w:rPr>
          <w:b/>
        </w:rPr>
        <w:t xml:space="preserve">Ответственная роль: </w:t>
      </w:r>
      <w:r>
        <w:t>руководитель прототипа</w:t>
      </w:r>
    </w:p>
    <w:p>
      <w:r>
        <w:rPr>
          <w:b/>
        </w:rPr>
        <w:t xml:space="preserve">Признак наступления: </w:t>
      </w:r>
      <w:r>
        <w:t>В решении стоит только ссылка на нулевое число ошибок, а содержательная проверка согласия не зафиксирована</w:t>
      </w:r>
    </w:p>
    <w:p>
      <w:r>
        <w:t>L = 4; I = 4; R = 16.</w:t>
      </w:r>
    </w:p>
    <w:p>
      <w:pPr>
        <w:pStyle w:val="Heading2"/>
      </w:pPr>
      <w:r>
        <w:t>R06. Information Integrity</w:t>
      </w:r>
    </w:p>
    <w:p>
      <w:r>
        <w:rPr>
          <w:b/>
        </w:rPr>
        <w:t xml:space="preserve">Описание: </w:t>
      </w:r>
      <w:r>
        <w:t>Учебные метаданные и хеши строк представлены как доказательство существования и проверки реальных материалов</w:t>
      </w:r>
    </w:p>
    <w:p>
      <w:r>
        <w:rPr>
          <w:b/>
        </w:rPr>
        <w:t xml:space="preserve">Мера: </w:t>
      </w:r>
      <w:r>
        <w:t>Маркировать набор как синтетический; описать происхождение sha256; не подменять заглушки проверенными источниками</w:t>
      </w:r>
    </w:p>
    <w:p>
      <w:r>
        <w:rPr>
          <w:b/>
        </w:rPr>
        <w:t xml:space="preserve">Ответственная роль: </w:t>
      </w:r>
      <w:r>
        <w:t>ответственный за документацию</w:t>
      </w:r>
    </w:p>
    <w:p>
      <w:r>
        <w:rPr>
          <w:b/>
        </w:rPr>
        <w:t xml:space="preserve">Признак наступления: </w:t>
      </w:r>
      <w:r>
        <w:t>В карточке или отчёте заявлена проверка реального файла либо согласия при наличии только синтетической записи</w:t>
      </w:r>
    </w:p>
    <w:p>
      <w:r>
        <w:t>L = 3; I = 3; R = 9.</w:t>
      </w:r>
    </w:p>
    <w:p>
      <w:r>
        <w:t>Шкалы L и I — целые 1–5, R=L×I. Это субъективная учебная приоритизация до мер, а не измеренные вероятности или оценка частоты инцидентов. Описан гипотетический прототип; фактических утечек и нарушений в лабораторной не было. Ответственные обозначены проектными ролями, не реальными назначенными сотрудниками.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24"/>
        <w:gridCol w:w="624"/>
        <w:gridCol w:w="624"/>
        <w:gridCol w:w="6860"/>
      </w:tblGrid>
      <w:tr>
        <w:trPr>
          <w:cantSplit/>
          <w:tblHeader/>
        </w:trPr>
        <w:tc>
          <w:tcPr>
            <w:tcW w:type="dxa" w:w="907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L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I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R</w:t>
            </w:r>
          </w:p>
        </w:tc>
        <w:tc>
          <w:tcPr>
            <w:tcW w:type="dxa" w:w="6860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R01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686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Есть две явные проблемы согласий и два неподтверждённых документа; последствия для людей потенциально серьёзны.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R02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686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Передача через рабочие инструменты возможна при ошибке доступа; публикация противоречит сценарию и затрагивает личные сведения.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R03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type="dxa" w:w="686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Пробел правообладателя уже присутствует в метаданных; может потребоваться замена компонента и пересборка прототипа.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R04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type="dxa" w:w="686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Большинство записей имеют условия атрибуции; потеря уведомлений способна сорвать последующее использование.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R05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type="dxa" w:w="686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Скрипт молчит о document без публикации; поэтому доверие одному числу ошибок создаёт очевидный пробел контроля.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R06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686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Даты, имена файлов и хеши выглядят правдоподобно; ошибочное описание вводит в заблуждение проверяющих.</w:t>
            </w:r>
          </w:p>
        </w:tc>
      </w:tr>
    </w:tbl>
    <w:p>
      <w:pPr>
        <w:spacing w:after="0"/>
      </w:pPr>
    </w:p>
    <w:p>
      <w:r>
        <w:t>Группы взяты из перечня NIST AI 600-1 и методички. Собственные описания адаптированы к сценарию; формула L×I задана учебной работой. Обязательные Information Security и Value Chain and Component Integration присутствуют. Остальные группы из полного перечня не включены: для данного учебного сценария конкретные события по ним не установлены, включать все 12 не требуется.</w:t>
      </w:r>
    </w:p>
    <w:p>
      <w:r>
        <w:br w:type="page"/>
      </w:r>
    </w:p>
    <w:p>
      <w:pPr>
        <w:pStyle w:val="Heading1"/>
      </w:pPr>
      <w:r>
        <w:t>Приложение Г. Контрольные вопросы</w:t>
      </w:r>
    </w:p>
    <w:p>
      <w:pPr>
        <w:pStyle w:val="Heading2"/>
      </w:pPr>
      <w:r>
        <w:t>1. Данные, веса и результат</w:t>
      </w:r>
    </w:p>
    <w:p>
      <w:r>
        <w:t>Лицензия данных задаёт условия использования входных материалов; лицензия весов — условия использования модели; права на результат оцениваются отдельно. Ошибка — считать, что открытая модель автоматически разрешает любой входной материал. У генератора ЛР 1 весов нет, но есть лицензия кода.</w:t>
      </w:r>
    </w:p>
    <w:p>
      <w:pPr>
        <w:pStyle w:val="Heading2"/>
      </w:pPr>
      <w:r>
        <w:t>2. Условия BY, SA, NC и ND</w:t>
      </w:r>
    </w:p>
    <w:p>
      <w:r>
        <w:t>В учебной модели BY требует атрибуции, SA — тех же условий распространения адаптации, NC ограничивает коммерческое использование, ND ограничивает распространение адаптаций. Скрипт упрощённо помечает ND при любом derivatives=true. Для коммерческой афиши NC вызывает R3; ND также конфликтует с созданием производных по правилу R4, а SA при неприемлемом условии даёт R5. Точные условия реального использования проверяются по тексту лицензии.</w:t>
      </w:r>
    </w:p>
    <w:p>
      <w:pPr>
        <w:pStyle w:val="Heading2"/>
      </w:pPr>
      <w:r>
        <w:t>3. Нестандартная запись лицензии</w:t>
      </w:r>
    </w:p>
    <w:p>
      <w:r>
        <w:t>«CC BY 4» не является точным идентификатором каталога. Нужно получить подтверждение первоисточника, а затем записать подтверждённый идентификатор, например CC-BY-4.0. Подменять исходную запись по догадке нельзя.</w:t>
      </w:r>
    </w:p>
    <w:p>
      <w:pPr>
        <w:pStyle w:val="Heading2"/>
      </w:pPr>
      <w:r>
        <w:t>4. Две находки для одного объекта</w:t>
      </w:r>
    </w:p>
    <w:p>
      <w:r>
        <w:t>В демонстрационном сценарии CC-BY-NC-SA-4.0 вызывает R3 из-за коммерческого использования и R5 из-за неприемлемого ShareAlike. Исключение объекта из рабочего набора закрывает обе находки; решения должны быть связаны с одним объектом.</w:t>
      </w:r>
    </w:p>
    <w:p>
      <w:pPr>
        <w:pStyle w:val="Heading2"/>
      </w:pPr>
      <w:r>
        <w:t>5. Ошибка и предупреждение</w:t>
      </w:r>
    </w:p>
    <w:p>
      <w:r>
        <w:t>Это разные уровни учебных правил, а не разрешение игнорировать предупреждения. В варианте 23 R10 для item08 — предупреждение, но без правообладателя нельзя подтвердить происхождение разрешения; объект отложен до уточнения.</w:t>
      </w:r>
    </w:p>
    <w:p>
      <w:pPr>
        <w:pStyle w:val="Heading2"/>
      </w:pPr>
      <w:r>
        <w:t>6. Согласия с публикацией и без неё</w:t>
      </w:r>
    </w:p>
    <w:p>
      <w:r>
        <w:t>Только по четырём записям с персональными данными: с публикацией — 2 ошибки R6 и 2 предупреждения R7; без публикации — 2 ошибки и 0 предупреждений. В полном варианте 23 дополнительно присутствует R10, поэтому общие числа равны 2/3 и 2/1 соответственно.</w:t>
      </w:r>
    </w:p>
    <w:p>
      <w:pPr>
        <w:pStyle w:val="Heading2"/>
      </w:pPr>
      <w:r>
        <w:t>7. Расчёт риска</w:t>
      </w:r>
    </w:p>
    <w:p>
      <w:r>
        <w:t>При L=3 и I=5 R=15. Для L=4, I=3 получается 12, для L=2, I=5 — 10. Первый риск ранжируется выше по заданному произведению. Одинаковая итоговая оценка не означает одинаковые причины и меры.</w:t>
      </w:r>
    </w:p>
    <w:p>
      <w:pPr>
        <w:pStyle w:val="Heading2"/>
      </w:pPr>
      <w:r>
        <w:t>8. Пробелы карточки модели</w:t>
      </w:r>
    </w:p>
    <w:p>
      <w:r>
        <w:t>Лицензия кода и ответственный не извлекаются скриптом автоматически. Они заданы явно и пояснены в карточке. Паспорт эксперимента фиксирует условия запуска, но сам по себе не заменяет документацию назначения, прав и ограничений. Обучающие данные и веса в данном случае отсутствуют, поэтому это записано явно.</w:t>
      </w:r>
    </w:p>
    <w:p>
      <w:pPr>
        <w:pStyle w:val="Heading2"/>
      </w:pPr>
      <w:r>
        <w:t>9. Признак наступления</w:t>
      </w:r>
    </w:p>
    <w:p>
      <w:r>
        <w:t>Он позволяет обнаружить событие, а не просто перечислить опасность. Пример для Data Privacy: в рабочем манифесте появилась запись personal_data=yes без зарегистрированного решения по документу. Это проверяемый сигнал для остановки использования и разбора.</w:t>
      </w:r>
    </w:p>
    <w:p>
      <w:pPr>
        <w:pStyle w:val="Heading2"/>
      </w:pPr>
      <w:r>
        <w:t>10. Что не проверяет аудит</w:t>
      </w:r>
    </w:p>
    <w:p>
      <w:r>
        <w:t>Он не подтверждает источник, авторство, лицензию и текст согласия, не определяет реальное наличие личных сведений и не проверяет содержимое файлов. В реальном проекте нужны первоисточники, документы, проверка содержимого и доступов. В лабораторной такие проверки обозначены как необходимые, но не выданы за выполненные.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Вариант 23</dc:title>
  <dc:subject/>
  <dc:creator>Король Алексей Юрьевич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