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X="1" w:tblpY="1157"/>
        <w:tblW w:w="5000" w:type="pct"/>
        <w:tblBorders>
          <w:insideH w:val="single" w:sz="4" w:space="0" w:color="auto"/>
          <w:insideV w:val="single" w:sz="4" w:space="0" w:color="auto"/>
        </w:tblBorders>
        <w:tblCellMar>
          <w:left w:w="0" w:type="dxa"/>
          <w:right w:w="0" w:type="dxa"/>
        </w:tblCellMar>
        <w:tblLook w:val="01E0" w:firstRow="1" w:lastRow="1" w:firstColumn="1" w:lastColumn="1" w:noHBand="0" w:noVBand="0"/>
      </w:tblPr>
      <w:tblGrid>
        <w:gridCol w:w="9638"/>
      </w:tblGrid>
      <w:tr w:rsidR="00927168" w14:paraId="6F9D0560" w14:textId="77777777" w:rsidTr="0019135E">
        <w:trPr>
          <w:trHeight w:val="15"/>
          <w:tblHeader w:val="true"/>
        </w:trPr>
        <w:tc>
          <w:tcPr>
            <w:tcW w:w="5000" w:type="pct"/>
            <w:shd w:val="clear" w:color="auto" w:fill="FFFFFF" w:themeFill="background1"/>
            <w:tcMar>
              <w:top w:w="113" w:type="dxa"/>
              <w:bottom w:w="113" w:type="dxa"/>
            </w:tcMar>
            <w:vAlign w:val="bottom"/>
          </w:tcPr>
          <w:p w14:paraId="3CADB8F3" w14:textId="66D232AF" w:rsidR="00927168" w:rsidRPr="007C453D" w:rsidRDefault="00927168" w:rsidP="0019135E">
            <w:pPr>
              <w:pStyle w:val="a9"/>
              <w:spacing w:line="180" w:lineRule="exact"/>
              <w:ind w:firstLineChars="50" w:firstLine="80"/>
              <w:jc w:val="left"/>
              <w:rPr>
                <w:b w:val="0"/>
                <w:color w:val="000000"/>
                <w:w w:val="95"/>
                <w:sz w:val="28"/>
                <w:szCs w:val="30"/>
              </w:rPr>
            </w:pPr>
            <w:r w:rsidRPr="007C453D">
              <w:rPr>
                <w:rFonts w:ascii="돋움체" w:hAnsi="돋움체" w:hint="eastAsia"/>
                <w:b w:val="0"/>
                <w:sz w:val="16"/>
                <w:szCs w:val="16"/>
              </w:rPr>
              <w:t>한국CDE학회</w:t>
            </w:r>
            <w:r w:rsidRPr="007C453D">
              <w:rPr>
                <w:rFonts w:ascii="돋움체" w:hAnsi="돋움체" w:hint="eastAsia"/>
                <w:b w:val="0"/>
                <w:sz w:val="16"/>
                <w:szCs w:val="16"/>
                <w:lang w:eastAsia="zh-TW"/>
              </w:rPr>
              <w:t xml:space="preserve"> </w:t>
            </w:r>
            <w:r>
              <w:rPr>
                <w:rFonts w:ascii="돋움체" w:hAnsi="돋움체" w:hint="eastAsia"/>
                <w:b w:val="0"/>
                <w:sz w:val="16"/>
                <w:szCs w:val="16"/>
              </w:rPr>
              <w:t>2</w:t>
            </w:r>
            <w:r>
              <w:rPr>
                <w:rFonts w:ascii="돋움체" w:hAnsi="돋움체"/>
                <w:b w:val="0"/>
                <w:sz w:val="16"/>
                <w:szCs w:val="16"/>
              </w:rPr>
              <w:t>02</w:t>
            </w:r>
            <w:r w:rsidR="0070173C">
              <w:rPr>
                <w:rFonts w:ascii="돋움체" w:hAnsi="돋움체" w:hint="eastAsia"/>
                <w:b w:val="0"/>
                <w:sz w:val="16"/>
                <w:szCs w:val="16"/>
              </w:rPr>
              <w:t>6</w:t>
            </w:r>
            <w:r>
              <w:rPr>
                <w:rFonts w:ascii="돋움체" w:hAnsi="돋움체"/>
                <w:b w:val="0"/>
                <w:sz w:val="16"/>
                <w:szCs w:val="16"/>
              </w:rPr>
              <w:t xml:space="preserve"> </w:t>
            </w:r>
            <w:r w:rsidR="000E0B19">
              <w:rPr>
                <w:rFonts w:ascii="돋움체" w:hAnsi="돋움체" w:hint="eastAsia"/>
                <w:b w:val="0"/>
                <w:sz w:val="16"/>
                <w:szCs w:val="16"/>
              </w:rPr>
              <w:t>하계</w:t>
            </w:r>
            <w:r w:rsidRPr="007C453D">
              <w:rPr>
                <w:rFonts w:ascii="돋움체" w:hAnsi="돋움체" w:hint="eastAsia"/>
                <w:b w:val="0"/>
                <w:color w:val="1F3864" w:themeColor="accent5" w:themeShade="80"/>
                <w:sz w:val="16"/>
                <w:szCs w:val="16"/>
              </w:rPr>
              <w:t>학술대회</w:t>
            </w:r>
            <w:r w:rsidRPr="007C453D">
              <w:rPr>
                <w:rFonts w:ascii="돋움체" w:hAnsi="돋움체" w:hint="eastAsia"/>
                <w:b w:val="0"/>
                <w:sz w:val="16"/>
                <w:szCs w:val="16"/>
              </w:rPr>
              <w:t xml:space="preserve"> 논문집</w:t>
            </w:r>
          </w:p>
        </w:tc>
      </w:tr>
      <w:tr w:rsidR="00927168" w14:paraId="1B9F2F80" w14:textId="77777777" w:rsidTr="0019135E">
        <w:trPr>
          <w:trHeight w:val="1099"/>
        </w:trPr>
        <w:tc>
          <w:tcPr>
            <w:tcW w:w="5000" w:type="pct"/>
            <w:tcMar>
              <w:top w:w="113" w:type="dxa"/>
              <w:bottom w:w="113" w:type="dxa"/>
            </w:tcMar>
          </w:tcPr>
          <w:p>
            <w:pPr>
              <w:spacing w:after="20" w:line="240" w:lineRule="auto"/>
              <w:jc w:val="center"/>
            </w:pPr>
            <w:r>
              <w:rPr>
                <w:rFonts w:ascii="Times New Roman" w:hAnsi="Times New Roman" w:eastAsia="돋움"/>
                <w:b/>
                <w:sz w:val="32"/>
              </w:rPr>
              <w:t>시점 제한 Temporal RAG와 Agentic AI를 활용한 동적 산업 테마 후보군 검증 프레임워크</w:t>
            </w:r>
          </w:p>
          <w:p>
            <w:pPr>
              <w:spacing w:after="20" w:line="240" w:lineRule="auto"/>
              <w:jc w:val="center"/>
            </w:pPr>
            <w:r>
              <w:rPr>
                <w:rFonts w:ascii="Times New Roman" w:hAnsi="Times New Roman" w:eastAsia="Times New Roman"/>
                <w:b/>
                <w:sz w:val="26"/>
              </w:rPr>
              <w:t>A Point-in-Time Temporal RAG Validation Framework for Agentic Industrial Theme Candidate Prioritization</w:t>
            </w:r>
          </w:p>
          <w:p>
            <w:pPr>
              <w:spacing w:after="20" w:line="240" w:lineRule="auto"/>
              <w:jc w:val="center"/>
            </w:pPr>
            <w:r>
              <w:rPr>
                <w:rFonts w:ascii="Times New Roman" w:hAnsi="Times New Roman" w:eastAsia="바탕"/>
                <w:b w:val="0"/>
                <w:sz w:val="10"/>
              </w:rPr>
            </w:r>
          </w:p>
          <w:p>
            <w:pPr>
              <w:spacing w:after="20" w:line="240" w:lineRule="auto"/>
              <w:jc w:val="center"/>
            </w:pPr>
            <w:r>
              <w:rPr>
                <w:rFonts w:ascii="Times New Roman" w:hAnsi="Times New Roman" w:eastAsia="돋움"/>
                <w:b w:val="0"/>
                <w:sz w:val="18"/>
              </w:rPr>
              <w:t>*,1이도훈</w:t>
            </w:r>
          </w:p>
          <w:p>
            <w:pPr>
              <w:spacing w:after="20" w:line="240" w:lineRule="auto"/>
              <w:jc w:val="center"/>
            </w:pPr>
            <w:r>
              <w:rPr>
                <w:rFonts w:ascii="Times New Roman" w:hAnsi="Times New Roman" w:eastAsia="돋움"/>
                <w:b w:val="0"/>
                <w:sz w:val="18"/>
              </w:rPr>
              <w:t>1광운대학교</w:t>
            </w:r>
          </w:p>
          <w:p>
            <w:pPr>
              <w:spacing w:after="20" w:line="240" w:lineRule="auto"/>
              <w:jc w:val="center"/>
            </w:pPr>
            <w:r>
              <w:rPr>
                <w:rFonts w:ascii="Times New Roman" w:hAnsi="Times New Roman" w:eastAsia="Times New Roman"/>
                <w:b w:val="0"/>
                <w:sz w:val="18"/>
              </w:rPr>
              <w:t>*,1Dohoun LEE</w:t>
            </w:r>
          </w:p>
          <w:p>
            <w:pPr>
              <w:spacing w:after="20" w:line="240" w:lineRule="auto"/>
              <w:jc w:val="center"/>
            </w:pPr>
            <w:r>
              <w:rPr>
                <w:rFonts w:ascii="Times New Roman" w:hAnsi="Times New Roman" w:eastAsia="Times New Roman"/>
                <w:b w:val="0"/>
                <w:sz w:val="18"/>
              </w:rPr>
              <w:t>1Kwangwoon University</w:t>
            </w:r>
          </w:p>
        </w:tc>
      </w:tr>
      <w:tr w:rsidR="00927168" w14:paraId="12380FCC" w14:textId="77777777" w:rsidTr="0019135E">
        <w:trPr>
          <w:trHeight w:val="170"/>
        </w:trPr>
        <w:tc>
          <w:tcPr>
            <w:tcW w:w="5000" w:type="pct"/>
            <w:tcMar>
              <w:top w:w="113" w:type="dxa"/>
              <w:bottom w:w="113" w:type="dxa"/>
            </w:tcMar>
          </w:tcPr>
          <w:p>
            <w:pPr>
              <w:spacing w:after="40" w:line="240" w:lineRule="auto"/>
              <w:jc w:val="left"/>
            </w:pPr>
            <w:r>
              <w:rPr>
                <w:rFonts w:ascii="Times New Roman" w:hAnsi="Times New Roman" w:eastAsia="Times New Roman"/>
                <w:b/>
                <w:sz w:val="18"/>
              </w:rPr>
              <w:t>ABSTRACT</w:t>
            </w:r>
          </w:p>
          <w:p>
            <w:pPr>
              <w:spacing w:after="20" w:line="240" w:lineRule="auto"/>
              <w:jc w:val="both"/>
            </w:pPr>
            <w:r>
              <w:rPr>
                <w:rFonts w:ascii="Times New Roman" w:hAnsi="Times New Roman" w:eastAsia="굴림"/>
                <w:b w:val="0"/>
                <w:sz w:val="17"/>
              </w:rPr>
              <w:t>동적 산업 테마의 후보 기업 평가는 뉴스, 공시, 커뮤니티 반응, 가격 시계열처럼 생성 시점과 신뢰도가 다른 근거를 함께 다루어야 한다. 특히 과거 시점의 의사결정을 재현할 때는 미래에 공개된 문서나 가격 특징이 평가에 섞이는 정보 누수 문제가 발생할 수 있다. 본 연구는 AI 산업 테마를 대상으로 의사결정 시점 이전의 근거만 검색하는 Temporal RAG와 역할 분화 Agentic AI 평가 구조를 결합한 검증 프레임워크를 제안한다. 제안 방법은 Analyst, Quant, Chartist, Risk Manager 관점에서 후보군을 평가하되, 가격 기반 Chartist는 규칙 및 수식 특징을 포함하는 hybrid multi-perspective 구조로 설계하였다. 실험은 2023년, 2024년, 2026년 1분기를 검증 구간으로, 2025년을 튜닝 및 참조 구간으로 구분하고, 5거래일 및 60거래일 보유 조건에서 결정론적 기준선, 기술지표 기준선, LLM-only, hybrid multi-agent를 비교하였다. 결과적으로 hybrid multi-agent는 8개 기간-구간 조합 중 결정론적 기준선 이상 4건, 최고 기술지표 기준선 이상 4건을 보였으나 모든 구간에서 일관된 우월성을 보이지는 않았다. 따라서 본 연구의 핵심 기여는 수익률 보장이 아니라 시점 제한 근거 검색, 검증 재현성, 그리고 근거 추적 가능한 의사결정 지원 구조에 있다.</w:t>
            </w:r>
          </w:p>
        </w:tc>
      </w:tr>
      <w:tr w:rsidR="00927168" w14:paraId="4783ABEC" w14:textId="77777777" w:rsidTr="0019135E">
        <w:trPr>
          <w:trHeight w:val="17"/>
        </w:trPr>
        <w:tc>
          <w:tcPr>
            <w:tcW w:w="5000" w:type="pct"/>
            <w:tcMar>
              <w:top w:w="113" w:type="dxa"/>
              <w:bottom w:w="113" w:type="dxa"/>
            </w:tcMar>
          </w:tcPr>
          <w:p>
            <w:pPr>
              <w:spacing w:after="20" w:line="240" w:lineRule="auto"/>
              <w:jc w:val="left"/>
            </w:pPr>
            <w:r>
              <w:rPr>
                <w:rFonts w:ascii="Times New Roman" w:hAnsi="Times New Roman" w:eastAsia="Times New Roman"/>
                <w:b w:val="0"/>
                <w:sz w:val="16"/>
              </w:rPr>
              <w:t>Key Words: Agentic AI, Decision support, Industry theme, Temporal RAG, Validation framework</w:t>
            </w:r>
          </w:p>
        </w:tc>
      </w:tr>
      <w:tr w:rsidR="00927168" w14:paraId="16EF3A5E" w14:textId="77777777" w:rsidTr="0019135E">
        <w:trPr>
          <w:trHeight w:val="328"/>
        </w:trPr>
        <w:tc>
          <w:tcPr>
            <w:tcW w:w="5000" w:type="pct"/>
            <w:tcMar>
              <w:top w:w="113" w:type="dxa"/>
              <w:bottom w:w="113" w:type="dxa"/>
            </w:tcMar>
          </w:tcPr>
          <w:p w14:paraId="21676736" w14:textId="77777777" w:rsidR="00927168" w:rsidRPr="00A10C4D" w:rsidRDefault="00927168" w:rsidP="0019135E">
            <w:pPr>
              <w:pStyle w:val="a9"/>
              <w:spacing w:line="240" w:lineRule="exact"/>
              <w:jc w:val="both"/>
              <w:rPr>
                <w:rFonts w:ascii="굴림" w:eastAsia="굴림" w:hAnsi="굴림"/>
                <w:b w:val="0"/>
                <w:bCs/>
                <w:color w:val="000000"/>
                <w:sz w:val="18"/>
                <w:szCs w:val="18"/>
              </w:rPr>
            </w:pPr>
          </w:p>
        </w:tc>
      </w:tr>
    </w:tbl>
    <w:p w14:paraId="1D356346" w14:textId="77777777" w:rsidR="00231361" w:rsidRPr="00927168" w:rsidRDefault="00231361" w:rsidP="001E4CE2">
      <w:pPr>
        <w:ind w:firstLine="0"/>
      </w:pPr>
    </w:p>
    <w:p w14:paraId="19370085" w14:textId="77777777" w:rsidR="007E730E" w:rsidRPr="007D158F" w:rsidRDefault="007E730E" w:rsidP="00C73A3F">
      <w:pPr>
        <w:pStyle w:val="af1"/>
        <w:wordWrap/>
        <w:outlineLvl w:val="0"/>
        <w:sectPr w:rsidR="007E730E" w:rsidRPr="007D158F" w:rsidSect="00927168">
          <w:headerReference w:type="even" r:id="rId8"/>
          <w:headerReference w:type="default" r:id="rId9"/>
          <w:footerReference w:type="default" r:id="rId10"/>
          <w:footerReference w:type="first" r:id="rId11"/>
          <w:headerReference w:type="first" r:id="rId18"/>
          <w:footerReference w:type="even" r:id="rId19"/>
          <w:type w:val="continuous"/>
          <w:pgSz w:w="11906" w:h="16838"/>
          <w:pgMar w:top="851" w:right="1134" w:bottom="851" w:left="1134" w:header="340" w:footer="454" w:gutter="0"/>
          <w:cols w:space="425"/>
          <w:titlePg/>
          <w:docGrid w:linePitch="360"/>
        </w:sectPr>
      </w:pPr>
    </w:p>
    <w:p>
      <w:pPr>
        <w:pStyle w:val="af1"/>
        <w:spacing w:after="100" w:line="252" w:lineRule="auto" w:before="100"/>
      </w:pPr>
      <w:r>
        <w:rPr>
          <w:rFonts w:ascii="Times New Roman" w:hAnsi="Times New Roman" w:eastAsia="바탕"/>
          <w:b/>
          <w:sz w:val="20"/>
        </w:rPr>
        <w:t>1. 서론</w:t>
      </w:r>
    </w:p>
    <w:p>
      <w:pPr>
        <w:pStyle w:val="af2"/>
        <w:spacing w:after="80" w:line="252" w:lineRule="auto"/>
      </w:pPr>
      <w:r>
        <w:rPr>
          <w:rFonts w:ascii="Times New Roman" w:hAnsi="Times New Roman" w:eastAsia="바탕"/>
          <w:b w:val="0"/>
          <w:sz w:val="18"/>
        </w:rPr>
        <w:t>산업 테마 기반 후보군 평가는 단일 정형 지표만으로 설명하기 어렵다. 한 기업이 특정 테마의 선도 후보로 부상하는 과정에는 공시, 뉴스, 제품 및 수주 이슈, 온라인 반응, 가격 및 거래량 변화가 비동기적으로 결합된다. 이러한 문제는 CDE 관점에서 보면 복수의 이질 데이터와 지능형 의사결정 모델을 연결하는 모델링 및 검증 문제로 볼 수 있다.</w:t>
      </w:r>
    </w:p>
    <w:p>
      <w:pPr>
        <w:pStyle w:val="af2"/>
        <w:spacing w:after="80" w:line="252" w:lineRule="auto"/>
      </w:pPr>
      <w:r>
        <w:rPr>
          <w:rFonts w:ascii="Times New Roman" w:hAnsi="Times New Roman" w:eastAsia="바탕"/>
          <w:b w:val="0"/>
          <w:sz w:val="18"/>
        </w:rPr>
        <w:t>그러나 과거 성과 검증을 단순 백테스트로 수행하면 평가 시점 이후에 공개된 문서나 가격 특징이 후보 선정에 섞이는 문제가 발생한다. 이는 의사결정 모델의 실제 성능보다 낙관적인 결과를 만들 수 있으며, 백테스트 과적합과 정보 누수의 주요 원인이 된다</w:t>
      </w:r>
      <w:r>
        <w:rPr>
          <w:rFonts w:ascii="Times New Roman" w:hAnsi="Times New Roman" w:eastAsia="바탕"/>
          <w:b w:val="0"/>
          <w:sz w:val="18"/>
          <w:vertAlign w:val="superscript"/>
        </w:rPr>
        <w:t>[3]</w:t>
      </w:r>
      <w:r>
        <w:rPr>
          <w:rFonts w:ascii="Times New Roman" w:hAnsi="Times New Roman" w:eastAsia="바탕"/>
          <w:b w:val="0"/>
          <w:sz w:val="18"/>
        </w:rPr>
        <w:t>. 특히 LLM 또는 RAG 기반 시스템에서는 검색 코퍼스의 시간 경계가 명확하지 않을 때 위험이 커진다</w:t>
      </w:r>
      <w:r>
        <w:rPr>
          <w:rFonts w:ascii="Times New Roman" w:hAnsi="Times New Roman" w:eastAsia="바탕"/>
          <w:b w:val="0"/>
          <w:sz w:val="18"/>
          <w:vertAlign w:val="superscript"/>
        </w:rPr>
        <w:t>[1]</w:t>
      </w:r>
      <w:r>
        <w:rPr>
          <w:rFonts w:ascii="Times New Roman" w:hAnsi="Times New Roman" w:eastAsia="바탕"/>
          <w:b w:val="0"/>
          <w:sz w:val="18"/>
        </w:rPr>
        <w:t>. 따라서 동적 산업 테마 후보군 검증에는 특정 `as_of_date` 기준으로 이용 가능한 근거만 사용하고, 후보 선정 이후의 보유기간 수익률은 별도 평가 단계에서만 사용하는 절차가 필요하다.</w:t>
      </w:r>
    </w:p>
    <w:p>
      <w:pPr>
        <w:pStyle w:val="af2"/>
        <w:spacing w:after="80" w:line="252" w:lineRule="auto"/>
      </w:pPr>
      <w:r>
        <w:rPr>
          <w:rFonts w:ascii="Times New Roman" w:hAnsi="Times New Roman" w:eastAsia="바탕"/>
          <w:b w:val="0"/>
          <w:sz w:val="18"/>
        </w:rPr>
        <w:t>본 연구는 AI 산업 테마를 대상으로 시점 제한 Temporal RAG와 역할 분화 Agentic AI 평가 구조를 결합한 검증 프레임워크를 제안한다. 연구의 기여는 다음과 같다. 첫째, 문서와 가격 특징을 의사결정 시점 이전 데이터로 제한하는 point-in-time 검증 절차를 구성하였다. 둘째, Analyst, Quant, Chartist, Risk Manager 역할을 분리하여 후보 평가 근거를 추적 가능하게 만들었다. 셋째, 결정론적 기준선과 기술지표 기준선을 함께 제시하여 hybrid multi-agent 결과가 특정 구간에서 경쟁적이지만 항상 우월하지는 않다는 점을 정직하게 검증하였다.</w:t>
      </w:r>
    </w:p>
    <w:p>
      <w:pPr>
        <w:pStyle w:val="af1"/>
        <w:spacing w:after="100" w:line="252" w:lineRule="auto" w:before="100"/>
      </w:pPr>
      <w:r>
        <w:rPr>
          <w:rFonts w:ascii="Times New Roman" w:hAnsi="Times New Roman" w:eastAsia="바탕"/>
          <w:b/>
          <w:sz w:val="20"/>
        </w:rPr>
        <w:t>2. 제안 프레임워크</w:t>
      </w:r>
    </w:p>
    <w:p>
      <w:pPr>
        <w:pStyle w:val="af2"/>
        <w:spacing w:after="80" w:line="252" w:lineRule="auto"/>
      </w:pPr>
      <w:r>
        <w:rPr>
          <w:rFonts w:ascii="Times New Roman" w:hAnsi="Times New Roman" w:eastAsia="바탕"/>
          <w:b w:val="0"/>
          <w:sz w:val="18"/>
        </w:rPr>
        <w:t>제안 프레임워크는 데이터 수집 계층, Temporal RAG 계층, 역할별 평가 계층, 위험 조정 및 후보 순위화 계층으로 구성된다. 데이터 수집 계층은 뉴스, DART 공시, 커뮤니티 텍스트, 가격 및 거래량 시계열, 테마 구성 후보를 입력으로 사용한다. Temporal RAG 계층은 각 재조정일을 `as_of_date`로 두고, 문서의 `published_at` 또는 가격 데이터의 날짜가 해당 시점 이전인 경우에만 검색과 특징 계산에 사용한다. 이때 뉴스와 커뮤니티 데이터에는 제한된 lookback window를 적용하고, 공시는 상대적으로 긴 기간 근거로 유지한다.</w:t>
      </w:r>
    </w:p>
    <w:p>
      <w:pPr>
        <w:pStyle w:val="af2"/>
        <w:spacing w:after="80" w:line="252" w:lineRule="auto"/>
      </w:pPr>
      <w:r>
        <w:rPr>
          <w:rFonts w:ascii="Times New Roman" w:hAnsi="Times New Roman" w:eastAsia="바탕"/>
          <w:b w:val="0"/>
          <w:sz w:val="18"/>
        </w:rPr>
        <w:t>역할별 평가 계층에서는 Analyst가 정성 근거와 사업 맥락을, Quant가 수치 및 랭킹 특징을, Chartist가 가격 및 거래량 기반 특징을, Risk Manager가 변동성 및 과열 조건을 검토한다. 이러한 역할 기반 reasoning-and-acting 구조는 LLM이 외부 도구와 근거를 결합해 판단을 구성하는 Agentic AI 접근과 연결된다</w:t>
      </w:r>
      <w:r>
        <w:rPr>
          <w:rFonts w:ascii="Times New Roman" w:hAnsi="Times New Roman" w:eastAsia="바탕"/>
          <w:b w:val="0"/>
          <w:sz w:val="18"/>
          <w:vertAlign w:val="superscript"/>
        </w:rPr>
        <w:t>[2]</w:t>
      </w:r>
      <w:r>
        <w:rPr>
          <w:rFonts w:ascii="Times New Roman" w:hAnsi="Times New Roman" w:eastAsia="바탕"/>
          <w:b w:val="0"/>
          <w:sz w:val="18"/>
        </w:rPr>
        <w:t>. 모든 구성 요소가 LLM인 것은 아니며, Chartist와 일부 위험 필터는 규칙 및 수식 기반 특징을 포함한다. 이 점에서 본 구조는 순수 LLM committee가 아니라 LLM 근거 평가와 결정론적 가격 특징을 결합한 hybrid Agentic AI 구조이다.</w:t>
      </w:r>
    </w:p>
    <w:p>
      <w:pPr>
        <w:spacing w:after="40"/>
        <w:jc w:val="center"/>
      </w:pPr>
      <w:r>
        <w:drawing>
          <wp:inline xmlns:a="http://schemas.openxmlformats.org/drawingml/2006/main" xmlns:pic="http://schemas.openxmlformats.org/drawingml/2006/picture">
            <wp:extent cx="2761488" cy="913415"/>
            <wp:docPr id="1" name="Picture 1" descr="Architecture diagram of the point-in-time temporal validation framework" title="Point-in-time temporal validation framework"/>
            <wp:cNvGraphicFramePr>
              <a:graphicFrameLocks noChangeAspect="1"/>
            </wp:cNvGraphicFramePr>
            <a:graphic>
              <a:graphicData uri="http://schemas.openxmlformats.org/drawingml/2006/picture">
                <pic:pic>
                  <pic:nvPicPr>
                    <pic:cNvPr id="0" name="temporal_rag_architecture.png"/>
                    <pic:cNvPicPr/>
                  </pic:nvPicPr>
                  <pic:blipFill>
                    <a:blip r:embed="rId20"/>
                    <a:stretch>
                      <a:fillRect/>
                    </a:stretch>
                  </pic:blipFill>
                  <pic:spPr>
                    <a:xfrm>
                      <a:off x="0" y="0"/>
                      <a:ext cx="2761488" cy="913415"/>
                    </a:xfrm>
                    <a:prstGeom prst="rect"/>
                  </pic:spPr>
                </pic:pic>
              </a:graphicData>
            </a:graphic>
          </wp:inline>
        </w:drawing>
      </w:r>
    </w:p>
    <w:p>
      <w:pPr>
        <w:spacing w:after="80" w:line="252" w:lineRule="auto"/>
        <w:jc w:val="center"/>
      </w:pPr>
      <w:r>
        <w:rPr>
          <w:rFonts w:ascii="Times New Roman" w:hAnsi="Times New Roman" w:eastAsia="바탕"/>
          <w:b w:val="0"/>
          <w:sz w:val="16"/>
        </w:rPr>
        <w:t>Fig. 1. Overall process of point-in-time temporal validation.</w:t>
      </w:r>
    </w:p>
    <w:p>
      <w:pPr>
        <w:pStyle w:val="af1"/>
        <w:spacing w:after="100" w:line="252" w:lineRule="auto" w:before="100"/>
      </w:pPr>
      <w:r>
        <w:rPr>
          <w:rFonts w:ascii="Times New Roman" w:hAnsi="Times New Roman" w:eastAsia="바탕"/>
          <w:b/>
          <w:sz w:val="20"/>
        </w:rPr>
        <w:t>3. 실험 설계 및 결과</w:t>
      </w:r>
    </w:p>
    <w:p>
      <w:pPr>
        <w:pStyle w:val="af2"/>
        <w:spacing w:after="80" w:line="252" w:lineRule="auto"/>
      </w:pPr>
      <w:r>
        <w:rPr>
          <w:rFonts w:ascii="Times New Roman" w:hAnsi="Times New Roman" w:eastAsia="바탕"/>
          <w:b w:val="0"/>
          <w:sz w:val="18"/>
        </w:rPr>
        <w:t>실험 범위는 AI 산업 테마 내 후보군 선정으로 제한하였다. 운영 시스템에는 다중 테마 paper trading 파이프라인이 존재하지만, 본 논문의 정량 검증은 단일 AI 테마 후보군 선정 문제에 한정한다. 이는 다중 테마 자동매매 성과가 이미 end-to-end로 검증되었다는 과도한 주장과 구분하기 위한 것이다.</w:t>
      </w:r>
    </w:p>
    <w:p>
      <w:pPr>
        <w:pStyle w:val="af2"/>
        <w:spacing w:after="80" w:line="252" w:lineRule="auto"/>
      </w:pPr>
      <w:r>
        <w:rPr>
          <w:rFonts w:ascii="Times New Roman" w:hAnsi="Times New Roman" w:eastAsia="바탕"/>
          <w:b w:val="0"/>
          <w:sz w:val="18"/>
        </w:rPr>
        <w:t>비교 대상은 결정론적 후보 선정 기준선, RSI 기반 전략, Bollinger Band 기반 전략, 20일 momentum, 변동성 조정 momentum, LLM-only, hybrid multi-agent이다. 짧은 구간은 주간 재조정과 5거래일 보유, 긴 구간은 월간 재조정과 60거래일 보유로 구성하였다. 비용 조건은 거래비용 15bp, 슬리피지 5bp, 시장충격 5bp를 포함하였다. 또한 변동성, 단기 급등, 시장 breadth, trailing stop 조건을 적용하여 검증 환경의 현실성을 높였다.</w:t>
      </w:r>
    </w:p>
    <w:p>
      <w:pPr>
        <w:spacing w:after="80" w:line="252" w:lineRule="auto"/>
        <w:jc w:val="left"/>
      </w:pPr>
      <w:r>
        <w:rPr>
          <w:rFonts w:ascii="Times New Roman" w:hAnsi="Times New Roman" w:eastAsia="바탕"/>
          <w:b w:val="0"/>
          <w:sz w:val="15"/>
        </w:rPr>
        <w:t>Table 1. Experimental protocol and realism controls.</w:t>
      </w:r>
    </w:p>
    <w:tbl>
      <w:tblPr>
        <w:tblStyle w:val="af4"/>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E9EEF4"/>
          </w:tcPr>
          <w:p>
            <w:pPr>
              <w:spacing w:after="0" w:line="240" w:lineRule="auto"/>
              <w:jc w:val="center"/>
            </w:pPr>
            <w:r>
              <w:rPr>
                <w:rFonts w:ascii="Times New Roman" w:hAnsi="Times New Roman" w:eastAsia="Times New Roman"/>
                <w:b/>
                <w:sz w:val="13"/>
              </w:rPr>
              <w:t>Item</w:t>
            </w:r>
          </w:p>
        </w:tc>
        <w:tc>
          <w:tcPr>
            <w:tcW w:type="dxa" w:w="4819"/>
            <w:vAlign w:val="center"/>
            <w:shd w:fill="E9EEF4"/>
          </w:tcPr>
          <w:p>
            <w:pPr>
              <w:spacing w:after="0" w:line="240" w:lineRule="auto"/>
              <w:jc w:val="center"/>
            </w:pPr>
            <w:r>
              <w:rPr>
                <w:rFonts w:ascii="Times New Roman" w:hAnsi="Times New Roman" w:eastAsia="Times New Roman"/>
                <w:b/>
                <w:sz w:val="13"/>
              </w:rPr>
              <w:t>Setting</w:t>
            </w:r>
          </w:p>
        </w:tc>
      </w:tr>
      <w:tr>
        <w:tc>
          <w:tcPr>
            <w:tcW w:type="dxa" w:w="4819"/>
            <w:vAlign w:val="center"/>
          </w:tcPr>
          <w:p>
            <w:pPr>
              <w:spacing w:after="0" w:line="240" w:lineRule="auto"/>
              <w:jc w:val="center"/>
            </w:pPr>
            <w:r>
              <w:rPr>
                <w:rFonts w:ascii="Times New Roman" w:hAnsi="Times New Roman" w:eastAsia="Times New Roman"/>
                <w:b w:val="0"/>
                <w:sz w:val="13"/>
              </w:rPr>
              <w:t>Theme scope</w:t>
            </w:r>
          </w:p>
        </w:tc>
        <w:tc>
          <w:tcPr>
            <w:tcW w:type="dxa" w:w="4819"/>
            <w:vAlign w:val="center"/>
          </w:tcPr>
          <w:p>
            <w:pPr>
              <w:spacing w:after="0" w:line="240" w:lineRule="auto"/>
              <w:jc w:val="center"/>
            </w:pPr>
            <w:r>
              <w:rPr>
                <w:rFonts w:ascii="Times New Roman" w:hAnsi="Times New Roman" w:eastAsia="Times New Roman"/>
                <w:b w:val="0"/>
                <w:sz w:val="13"/>
              </w:rPr>
              <w:t>AI industry theme candidate selection</w:t>
            </w:r>
          </w:p>
        </w:tc>
      </w:tr>
      <w:tr>
        <w:tc>
          <w:tcPr>
            <w:tcW w:type="dxa" w:w="4819"/>
            <w:vAlign w:val="center"/>
          </w:tcPr>
          <w:p>
            <w:pPr>
              <w:spacing w:after="0" w:line="240" w:lineRule="auto"/>
              <w:jc w:val="center"/>
            </w:pPr>
            <w:r>
              <w:rPr>
                <w:rFonts w:ascii="Times New Roman" w:hAnsi="Times New Roman" w:eastAsia="Times New Roman"/>
                <w:b w:val="0"/>
                <w:sz w:val="13"/>
              </w:rPr>
              <w:t>Periods</w:t>
            </w:r>
          </w:p>
        </w:tc>
        <w:tc>
          <w:tcPr>
            <w:tcW w:type="dxa" w:w="4819"/>
            <w:vAlign w:val="center"/>
          </w:tcPr>
          <w:p>
            <w:pPr>
              <w:spacing w:after="0" w:line="240" w:lineRule="auto"/>
              <w:jc w:val="center"/>
            </w:pPr>
            <w:r>
              <w:rPr>
                <w:rFonts w:ascii="Times New Roman" w:hAnsi="Times New Roman" w:eastAsia="Times New Roman"/>
                <w:b w:val="0"/>
                <w:sz w:val="13"/>
              </w:rPr>
              <w:t>Validation: 2023, 2024, 2026Q1; tuning/reference: 2025</w:t>
            </w:r>
          </w:p>
        </w:tc>
      </w:tr>
      <w:tr>
        <w:tc>
          <w:tcPr>
            <w:tcW w:type="dxa" w:w="4819"/>
            <w:vAlign w:val="center"/>
          </w:tcPr>
          <w:p>
            <w:pPr>
              <w:spacing w:after="0" w:line="240" w:lineRule="auto"/>
              <w:jc w:val="center"/>
            </w:pPr>
            <w:r>
              <w:rPr>
                <w:rFonts w:ascii="Times New Roman" w:hAnsi="Times New Roman" w:eastAsia="Times New Roman"/>
                <w:b w:val="0"/>
                <w:sz w:val="13"/>
              </w:rPr>
              <w:t>Horizons</w:t>
            </w:r>
          </w:p>
        </w:tc>
        <w:tc>
          <w:tcPr>
            <w:tcW w:type="dxa" w:w="4819"/>
            <w:vAlign w:val="center"/>
          </w:tcPr>
          <w:p>
            <w:pPr>
              <w:spacing w:after="0" w:line="240" w:lineRule="auto"/>
              <w:jc w:val="center"/>
            </w:pPr>
            <w:r>
              <w:rPr>
                <w:rFonts w:ascii="Times New Roman" w:hAnsi="Times New Roman" w:eastAsia="Times New Roman"/>
                <w:b w:val="0"/>
                <w:sz w:val="13"/>
              </w:rPr>
              <w:t>Short: 5 trading days, Long: 60 trading days</w:t>
            </w:r>
          </w:p>
        </w:tc>
      </w:tr>
      <w:tr>
        <w:tc>
          <w:tcPr>
            <w:tcW w:type="dxa" w:w="4819"/>
            <w:vAlign w:val="center"/>
          </w:tcPr>
          <w:p>
            <w:pPr>
              <w:spacing w:after="0" w:line="240" w:lineRule="auto"/>
              <w:jc w:val="center"/>
            </w:pPr>
            <w:r>
              <w:rPr>
                <w:rFonts w:ascii="Times New Roman" w:hAnsi="Times New Roman" w:eastAsia="Times New Roman"/>
                <w:b w:val="0"/>
                <w:sz w:val="13"/>
              </w:rPr>
              <w:t>Comparators</w:t>
            </w:r>
          </w:p>
        </w:tc>
        <w:tc>
          <w:tcPr>
            <w:tcW w:type="dxa" w:w="4819"/>
            <w:vAlign w:val="center"/>
          </w:tcPr>
          <w:p>
            <w:pPr>
              <w:spacing w:after="0" w:line="240" w:lineRule="auto"/>
              <w:jc w:val="center"/>
            </w:pPr>
            <w:r>
              <w:rPr>
                <w:rFonts w:ascii="Times New Roman" w:hAnsi="Times New Roman" w:eastAsia="Times New Roman"/>
                <w:b w:val="0"/>
                <w:sz w:val="13"/>
              </w:rPr>
              <w:t>Deterministic, RSI, Bollinger Band, momentum, LLM-only, hybrid multi-agent</w:t>
            </w:r>
          </w:p>
        </w:tc>
      </w:tr>
      <w:tr>
        <w:tc>
          <w:tcPr>
            <w:tcW w:type="dxa" w:w="4819"/>
            <w:vAlign w:val="center"/>
          </w:tcPr>
          <w:p>
            <w:pPr>
              <w:spacing w:after="0" w:line="240" w:lineRule="auto"/>
              <w:jc w:val="center"/>
            </w:pPr>
            <w:r>
              <w:rPr>
                <w:rFonts w:ascii="Times New Roman" w:hAnsi="Times New Roman" w:eastAsia="Times New Roman"/>
                <w:b w:val="0"/>
                <w:sz w:val="13"/>
              </w:rPr>
              <w:t>Cost assumptions</w:t>
            </w:r>
          </w:p>
        </w:tc>
        <w:tc>
          <w:tcPr>
            <w:tcW w:type="dxa" w:w="4819"/>
            <w:vAlign w:val="center"/>
          </w:tcPr>
          <w:p>
            <w:pPr>
              <w:spacing w:after="0" w:line="240" w:lineRule="auto"/>
              <w:jc w:val="center"/>
            </w:pPr>
            <w:r>
              <w:rPr>
                <w:rFonts w:ascii="Times New Roman" w:hAnsi="Times New Roman" w:eastAsia="Times New Roman"/>
                <w:b w:val="0"/>
                <w:sz w:val="13"/>
              </w:rPr>
              <w:t>Transaction cost 15bp, slippage 5bp, market impact 5bp</w:t>
            </w:r>
          </w:p>
        </w:tc>
      </w:tr>
      <w:tr>
        <w:tc>
          <w:tcPr>
            <w:tcW w:type="dxa" w:w="4819"/>
            <w:vAlign w:val="center"/>
          </w:tcPr>
          <w:p>
            <w:pPr>
              <w:spacing w:after="0" w:line="240" w:lineRule="auto"/>
              <w:jc w:val="center"/>
            </w:pPr>
            <w:r>
              <w:rPr>
                <w:rFonts w:ascii="Times New Roman" w:hAnsi="Times New Roman" w:eastAsia="Times New Roman"/>
                <w:b w:val="0"/>
                <w:sz w:val="13"/>
              </w:rPr>
              <w:t>Risk controls</w:t>
            </w:r>
          </w:p>
        </w:tc>
        <w:tc>
          <w:tcPr>
            <w:tcW w:type="dxa" w:w="4819"/>
            <w:vAlign w:val="center"/>
          </w:tcPr>
          <w:p>
            <w:pPr>
              <w:spacing w:after="0" w:line="240" w:lineRule="auto"/>
              <w:jc w:val="center"/>
            </w:pPr>
            <w:r>
              <w:rPr>
                <w:rFonts w:ascii="Times New Roman" w:hAnsi="Times New Roman" w:eastAsia="Times New Roman"/>
                <w:b w:val="0"/>
                <w:sz w:val="13"/>
              </w:rPr>
              <w:t>Volatility filter, overheat filter, breadth filter, trailing stop</w:t>
            </w:r>
          </w:p>
        </w:tc>
      </w:tr>
    </w:tbl>
    <w:p>
      <w:pPr>
        <w:spacing w:after="80" w:line="252" w:lineRule="auto"/>
      </w:pPr>
    </w:p>
    <w:p>
      <w:pPr>
        <w:pStyle w:val="af2"/>
        <w:spacing w:after="80" w:line="252" w:lineRule="auto"/>
      </w:pPr>
      <w:r>
        <w:rPr>
          <w:rFonts w:ascii="Times New Roman" w:hAnsi="Times New Roman" w:eastAsia="바탕"/>
          <w:b w:val="0"/>
          <w:sz w:val="18"/>
        </w:rPr>
        <w:t>구간 해석에서는 2025년을 파라미터 조정과 비교 해석을 위한 tuning/reference 구간으로 처리하고, 2023년, 2024년, 2026Q1을 검증 구간으로 해석한다. 또한 2026Q1 long 결과는 1회 재조정과 3개 포지션 기반의 제한 표본이므로 pilot 결과로만 해석한다.</w:t>
      </w:r>
    </w:p>
    <w:p>
      <w:pPr>
        <w:pStyle w:val="af2"/>
        <w:spacing w:after="80" w:line="252" w:lineRule="auto"/>
      </w:pPr>
      <w:r>
        <w:rPr>
          <w:rFonts w:ascii="Times New Roman" w:hAnsi="Times New Roman" w:eastAsia="바탕"/>
          <w:b w:val="0"/>
          <w:sz w:val="18"/>
        </w:rPr>
        <w:t>Table 2는 8개 기간-구간 조합의 핵심 결과를 요약한다. hybrid multi-agent는 2023 short, 2024 short, 2025 long, 2026Q1 long에서 결정론적 기준선 이상을 보였다. 최고 기술지표 기준선 이상인 경우는 2025 short, 2025 long, 2026Q1 short, 2026Q1 long의 4건이며, 2023 short는 최고 기술지표 기준선과 근접했지만 초과하지는 못했다. 다만 2023 long, 2024 long처럼 기술지표 또는 결정론적 기준선에 뒤처지는 구간도 존재하였다.</w:t>
      </w:r>
    </w:p>
    <w:p>
      <w:pPr>
        <w:spacing w:after="80" w:line="252" w:lineRule="auto"/>
        <w:jc w:val="left"/>
      </w:pPr>
      <w:r>
        <w:rPr>
          <w:rFonts w:ascii="Times New Roman" w:hAnsi="Times New Roman" w:eastAsia="바탕"/>
          <w:b w:val="0"/>
          <w:sz w:val="15"/>
        </w:rPr>
        <w:t>Table 2. Summary of period-horizon comparison.</w:t>
      </w:r>
    </w:p>
    <w:tbl>
      <w:tblPr>
        <w:tblStyle w:val="af4"/>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vAlign w:val="center"/>
            <w:shd w:fill="E9EEF4"/>
          </w:tcPr>
          <w:p>
            <w:pPr>
              <w:spacing w:after="0" w:line="240" w:lineRule="auto"/>
              <w:jc w:val="center"/>
            </w:pPr>
            <w:r>
              <w:rPr>
                <w:rFonts w:ascii="Times New Roman" w:hAnsi="Times New Roman" w:eastAsia="Times New Roman"/>
                <w:b/>
                <w:sz w:val="13"/>
              </w:rPr>
              <w:t>Period</w:t>
            </w:r>
          </w:p>
        </w:tc>
        <w:tc>
          <w:tcPr>
            <w:tcW w:type="dxa" w:w="1928"/>
            <w:vAlign w:val="center"/>
            <w:shd w:fill="E9EEF4"/>
          </w:tcPr>
          <w:p>
            <w:pPr>
              <w:spacing w:after="0" w:line="240" w:lineRule="auto"/>
              <w:jc w:val="center"/>
            </w:pPr>
            <w:r>
              <w:rPr>
                <w:rFonts w:ascii="Times New Roman" w:hAnsi="Times New Roman" w:eastAsia="Times New Roman"/>
                <w:b/>
                <w:sz w:val="13"/>
              </w:rPr>
              <w:t>Horizon</w:t>
            </w:r>
          </w:p>
        </w:tc>
        <w:tc>
          <w:tcPr>
            <w:tcW w:type="dxa" w:w="1928"/>
            <w:vAlign w:val="center"/>
            <w:shd w:fill="E9EEF4"/>
          </w:tcPr>
          <w:p>
            <w:pPr>
              <w:spacing w:after="0" w:line="240" w:lineRule="auto"/>
              <w:jc w:val="center"/>
            </w:pPr>
            <w:r>
              <w:rPr>
                <w:rFonts w:ascii="Times New Roman" w:hAnsi="Times New Roman" w:eastAsia="Times New Roman"/>
                <w:b/>
                <w:sz w:val="13"/>
              </w:rPr>
              <w:t>Hybrid</w:t>
            </w:r>
          </w:p>
        </w:tc>
        <w:tc>
          <w:tcPr>
            <w:tcW w:type="dxa" w:w="1928"/>
            <w:vAlign w:val="center"/>
            <w:shd w:fill="E9EEF4"/>
          </w:tcPr>
          <w:p>
            <w:pPr>
              <w:spacing w:after="0" w:line="240" w:lineRule="auto"/>
              <w:jc w:val="center"/>
            </w:pPr>
            <w:r>
              <w:rPr>
                <w:rFonts w:ascii="Times New Roman" w:hAnsi="Times New Roman" w:eastAsia="Times New Roman"/>
                <w:b/>
                <w:sz w:val="13"/>
              </w:rPr>
              <w:t>Det.</w:t>
            </w:r>
          </w:p>
        </w:tc>
        <w:tc>
          <w:tcPr>
            <w:tcW w:type="dxa" w:w="1928"/>
            <w:vAlign w:val="center"/>
            <w:shd w:fill="E9EEF4"/>
          </w:tcPr>
          <w:p>
            <w:pPr>
              <w:spacing w:after="0" w:line="240" w:lineRule="auto"/>
              <w:jc w:val="center"/>
            </w:pPr>
            <w:r>
              <w:rPr>
                <w:rFonts w:ascii="Times New Roman" w:hAnsi="Times New Roman" w:eastAsia="Times New Roman"/>
                <w:b/>
                <w:sz w:val="13"/>
              </w:rPr>
              <w:t>Best tech</w:t>
            </w:r>
          </w:p>
        </w:tc>
      </w:tr>
      <w:tr>
        <w:tc>
          <w:tcPr>
            <w:tcW w:type="dxa" w:w="1928"/>
            <w:vAlign w:val="center"/>
          </w:tcPr>
          <w:p>
            <w:pPr>
              <w:spacing w:after="0" w:line="240" w:lineRule="auto"/>
              <w:jc w:val="center"/>
            </w:pPr>
            <w:r>
              <w:rPr>
                <w:rFonts w:ascii="Times New Roman" w:hAnsi="Times New Roman" w:eastAsia="Times New Roman"/>
                <w:b w:val="0"/>
                <w:sz w:val="13"/>
              </w:rPr>
              <w:t>2023</w:t>
            </w:r>
          </w:p>
        </w:tc>
        <w:tc>
          <w:tcPr>
            <w:tcW w:type="dxa" w:w="1928"/>
            <w:vAlign w:val="center"/>
          </w:tcPr>
          <w:p>
            <w:pPr>
              <w:spacing w:after="0" w:line="240" w:lineRule="auto"/>
              <w:jc w:val="center"/>
            </w:pPr>
            <w:r>
              <w:rPr>
                <w:rFonts w:ascii="Times New Roman" w:hAnsi="Times New Roman" w:eastAsia="Times New Roman"/>
                <w:b w:val="0"/>
                <w:sz w:val="13"/>
              </w:rPr>
              <w:t>Short</w:t>
            </w:r>
          </w:p>
        </w:tc>
        <w:tc>
          <w:tcPr>
            <w:tcW w:type="dxa" w:w="1928"/>
            <w:vAlign w:val="center"/>
          </w:tcPr>
          <w:p>
            <w:pPr>
              <w:spacing w:after="0" w:line="240" w:lineRule="auto"/>
              <w:jc w:val="center"/>
            </w:pPr>
            <w:r>
              <w:rPr>
                <w:rFonts w:ascii="Times New Roman" w:hAnsi="Times New Roman" w:eastAsia="Times New Roman"/>
                <w:b w:val="0"/>
                <w:sz w:val="13"/>
              </w:rPr>
              <w:t>14.92%</w:t>
            </w:r>
          </w:p>
        </w:tc>
        <w:tc>
          <w:tcPr>
            <w:tcW w:type="dxa" w:w="1928"/>
            <w:vAlign w:val="center"/>
          </w:tcPr>
          <w:p>
            <w:pPr>
              <w:spacing w:after="0" w:line="240" w:lineRule="auto"/>
              <w:jc w:val="center"/>
            </w:pPr>
            <w:r>
              <w:rPr>
                <w:rFonts w:ascii="Times New Roman" w:hAnsi="Times New Roman" w:eastAsia="Times New Roman"/>
                <w:b w:val="0"/>
                <w:sz w:val="13"/>
              </w:rPr>
              <w:t>13.58%</w:t>
            </w:r>
          </w:p>
        </w:tc>
        <w:tc>
          <w:tcPr>
            <w:tcW w:type="dxa" w:w="1928"/>
            <w:vAlign w:val="center"/>
          </w:tcPr>
          <w:p>
            <w:pPr>
              <w:spacing w:after="0" w:line="240" w:lineRule="auto"/>
              <w:jc w:val="center"/>
            </w:pPr>
            <w:r>
              <w:rPr>
                <w:rFonts w:ascii="Times New Roman" w:hAnsi="Times New Roman" w:eastAsia="Times New Roman"/>
                <w:b w:val="0"/>
                <w:sz w:val="13"/>
              </w:rPr>
              <w:t>15.15%</w:t>
            </w:r>
          </w:p>
        </w:tc>
      </w:tr>
      <w:tr>
        <w:tc>
          <w:tcPr>
            <w:tcW w:type="dxa" w:w="1928"/>
            <w:vAlign w:val="center"/>
          </w:tcPr>
          <w:p>
            <w:pPr>
              <w:spacing w:after="0" w:line="240" w:lineRule="auto"/>
              <w:jc w:val="center"/>
            </w:pPr>
            <w:r>
              <w:rPr>
                <w:rFonts w:ascii="Times New Roman" w:hAnsi="Times New Roman" w:eastAsia="Times New Roman"/>
                <w:b w:val="0"/>
                <w:sz w:val="13"/>
              </w:rPr>
              <w:t>2023</w:t>
            </w:r>
          </w:p>
        </w:tc>
        <w:tc>
          <w:tcPr>
            <w:tcW w:type="dxa" w:w="1928"/>
            <w:vAlign w:val="center"/>
          </w:tcPr>
          <w:p>
            <w:pPr>
              <w:spacing w:after="0" w:line="240" w:lineRule="auto"/>
              <w:jc w:val="center"/>
            </w:pPr>
            <w:r>
              <w:rPr>
                <w:rFonts w:ascii="Times New Roman" w:hAnsi="Times New Roman" w:eastAsia="Times New Roman"/>
                <w:b w:val="0"/>
                <w:sz w:val="13"/>
              </w:rPr>
              <w:t>Long</w:t>
            </w:r>
          </w:p>
        </w:tc>
        <w:tc>
          <w:tcPr>
            <w:tcW w:type="dxa" w:w="1928"/>
            <w:vAlign w:val="center"/>
          </w:tcPr>
          <w:p>
            <w:pPr>
              <w:spacing w:after="0" w:line="240" w:lineRule="auto"/>
              <w:jc w:val="center"/>
            </w:pPr>
            <w:r>
              <w:rPr>
                <w:rFonts w:ascii="Times New Roman" w:hAnsi="Times New Roman" w:eastAsia="Times New Roman"/>
                <w:b w:val="0"/>
                <w:sz w:val="13"/>
              </w:rPr>
              <w:t>-0.42%</w:t>
            </w:r>
          </w:p>
        </w:tc>
        <w:tc>
          <w:tcPr>
            <w:tcW w:type="dxa" w:w="1928"/>
            <w:vAlign w:val="center"/>
          </w:tcPr>
          <w:p>
            <w:pPr>
              <w:spacing w:after="0" w:line="240" w:lineRule="auto"/>
              <w:jc w:val="center"/>
            </w:pPr>
            <w:r>
              <w:rPr>
                <w:rFonts w:ascii="Times New Roman" w:hAnsi="Times New Roman" w:eastAsia="Times New Roman"/>
                <w:b w:val="0"/>
                <w:sz w:val="13"/>
              </w:rPr>
              <w:t>7.64%</w:t>
            </w:r>
          </w:p>
        </w:tc>
        <w:tc>
          <w:tcPr>
            <w:tcW w:type="dxa" w:w="1928"/>
            <w:vAlign w:val="center"/>
          </w:tcPr>
          <w:p>
            <w:pPr>
              <w:spacing w:after="0" w:line="240" w:lineRule="auto"/>
              <w:jc w:val="center"/>
            </w:pPr>
            <w:r>
              <w:rPr>
                <w:rFonts w:ascii="Times New Roman" w:hAnsi="Times New Roman" w:eastAsia="Times New Roman"/>
                <w:b w:val="0"/>
                <w:sz w:val="13"/>
              </w:rPr>
              <w:t>52.69%</w:t>
            </w:r>
          </w:p>
        </w:tc>
      </w:tr>
      <w:tr>
        <w:tc>
          <w:tcPr>
            <w:tcW w:type="dxa" w:w="1928"/>
            <w:vAlign w:val="center"/>
          </w:tcPr>
          <w:p>
            <w:pPr>
              <w:spacing w:after="0" w:line="240" w:lineRule="auto"/>
              <w:jc w:val="center"/>
            </w:pPr>
            <w:r>
              <w:rPr>
                <w:rFonts w:ascii="Times New Roman" w:hAnsi="Times New Roman" w:eastAsia="Times New Roman"/>
                <w:b w:val="0"/>
                <w:sz w:val="13"/>
              </w:rPr>
              <w:t>2024</w:t>
            </w:r>
          </w:p>
        </w:tc>
        <w:tc>
          <w:tcPr>
            <w:tcW w:type="dxa" w:w="1928"/>
            <w:vAlign w:val="center"/>
          </w:tcPr>
          <w:p>
            <w:pPr>
              <w:spacing w:after="0" w:line="240" w:lineRule="auto"/>
              <w:jc w:val="center"/>
            </w:pPr>
            <w:r>
              <w:rPr>
                <w:rFonts w:ascii="Times New Roman" w:hAnsi="Times New Roman" w:eastAsia="Times New Roman"/>
                <w:b w:val="0"/>
                <w:sz w:val="13"/>
              </w:rPr>
              <w:t>Short</w:t>
            </w:r>
          </w:p>
        </w:tc>
        <w:tc>
          <w:tcPr>
            <w:tcW w:type="dxa" w:w="1928"/>
            <w:vAlign w:val="center"/>
          </w:tcPr>
          <w:p>
            <w:pPr>
              <w:spacing w:after="0" w:line="240" w:lineRule="auto"/>
              <w:jc w:val="center"/>
            </w:pPr>
            <w:r>
              <w:rPr>
                <w:rFonts w:ascii="Times New Roman" w:hAnsi="Times New Roman" w:eastAsia="Times New Roman"/>
                <w:b w:val="0"/>
                <w:sz w:val="13"/>
              </w:rPr>
              <w:t>46.99%</w:t>
            </w:r>
          </w:p>
        </w:tc>
        <w:tc>
          <w:tcPr>
            <w:tcW w:type="dxa" w:w="1928"/>
            <w:vAlign w:val="center"/>
          </w:tcPr>
          <w:p>
            <w:pPr>
              <w:spacing w:after="0" w:line="240" w:lineRule="auto"/>
              <w:jc w:val="center"/>
            </w:pPr>
            <w:r>
              <w:rPr>
                <w:rFonts w:ascii="Times New Roman" w:hAnsi="Times New Roman" w:eastAsia="Times New Roman"/>
                <w:b w:val="0"/>
                <w:sz w:val="13"/>
              </w:rPr>
              <w:t>38.27%</w:t>
            </w:r>
          </w:p>
        </w:tc>
        <w:tc>
          <w:tcPr>
            <w:tcW w:type="dxa" w:w="1928"/>
            <w:vAlign w:val="center"/>
          </w:tcPr>
          <w:p>
            <w:pPr>
              <w:spacing w:after="0" w:line="240" w:lineRule="auto"/>
              <w:jc w:val="center"/>
            </w:pPr>
            <w:r>
              <w:rPr>
                <w:rFonts w:ascii="Times New Roman" w:hAnsi="Times New Roman" w:eastAsia="Times New Roman"/>
                <w:b w:val="0"/>
                <w:sz w:val="13"/>
              </w:rPr>
              <w:t>167.72%</w:t>
            </w:r>
          </w:p>
        </w:tc>
      </w:tr>
      <w:tr>
        <w:tc>
          <w:tcPr>
            <w:tcW w:type="dxa" w:w="1928"/>
            <w:vAlign w:val="center"/>
          </w:tcPr>
          <w:p>
            <w:pPr>
              <w:spacing w:after="0" w:line="240" w:lineRule="auto"/>
              <w:jc w:val="center"/>
            </w:pPr>
            <w:r>
              <w:rPr>
                <w:rFonts w:ascii="Times New Roman" w:hAnsi="Times New Roman" w:eastAsia="Times New Roman"/>
                <w:b w:val="0"/>
                <w:sz w:val="13"/>
              </w:rPr>
              <w:t>2024</w:t>
            </w:r>
          </w:p>
        </w:tc>
        <w:tc>
          <w:tcPr>
            <w:tcW w:type="dxa" w:w="1928"/>
            <w:vAlign w:val="center"/>
          </w:tcPr>
          <w:p>
            <w:pPr>
              <w:spacing w:after="0" w:line="240" w:lineRule="auto"/>
              <w:jc w:val="center"/>
            </w:pPr>
            <w:r>
              <w:rPr>
                <w:rFonts w:ascii="Times New Roman" w:hAnsi="Times New Roman" w:eastAsia="Times New Roman"/>
                <w:b w:val="0"/>
                <w:sz w:val="13"/>
              </w:rPr>
              <w:t>Long</w:t>
            </w:r>
          </w:p>
        </w:tc>
        <w:tc>
          <w:tcPr>
            <w:tcW w:type="dxa" w:w="1928"/>
            <w:vAlign w:val="center"/>
          </w:tcPr>
          <w:p>
            <w:pPr>
              <w:spacing w:after="0" w:line="240" w:lineRule="auto"/>
              <w:jc w:val="center"/>
            </w:pPr>
            <w:r>
              <w:rPr>
                <w:rFonts w:ascii="Times New Roman" w:hAnsi="Times New Roman" w:eastAsia="Times New Roman"/>
                <w:b w:val="0"/>
                <w:sz w:val="13"/>
              </w:rPr>
              <w:t>0.08%</w:t>
            </w:r>
          </w:p>
        </w:tc>
        <w:tc>
          <w:tcPr>
            <w:tcW w:type="dxa" w:w="1928"/>
            <w:vAlign w:val="center"/>
          </w:tcPr>
          <w:p>
            <w:pPr>
              <w:spacing w:after="0" w:line="240" w:lineRule="auto"/>
              <w:jc w:val="center"/>
            </w:pPr>
            <w:r>
              <w:rPr>
                <w:rFonts w:ascii="Times New Roman" w:hAnsi="Times New Roman" w:eastAsia="Times New Roman"/>
                <w:b w:val="0"/>
                <w:sz w:val="13"/>
              </w:rPr>
              <w:t>16.78%</w:t>
            </w:r>
          </w:p>
        </w:tc>
        <w:tc>
          <w:tcPr>
            <w:tcW w:type="dxa" w:w="1928"/>
            <w:vAlign w:val="center"/>
          </w:tcPr>
          <w:p>
            <w:pPr>
              <w:spacing w:after="0" w:line="240" w:lineRule="auto"/>
              <w:jc w:val="center"/>
            </w:pPr>
            <w:r>
              <w:rPr>
                <w:rFonts w:ascii="Times New Roman" w:hAnsi="Times New Roman" w:eastAsia="Times New Roman"/>
                <w:b w:val="0"/>
                <w:sz w:val="13"/>
              </w:rPr>
              <w:t>16.02%</w:t>
            </w:r>
          </w:p>
        </w:tc>
      </w:tr>
      <w:tr>
        <w:tc>
          <w:tcPr>
            <w:tcW w:type="dxa" w:w="1928"/>
            <w:vAlign w:val="center"/>
          </w:tcPr>
          <w:p>
            <w:pPr>
              <w:spacing w:after="0" w:line="240" w:lineRule="auto"/>
              <w:jc w:val="center"/>
            </w:pPr>
            <w:r>
              <w:rPr>
                <w:rFonts w:ascii="Times New Roman" w:hAnsi="Times New Roman" w:eastAsia="Times New Roman"/>
                <w:b w:val="0"/>
                <w:sz w:val="13"/>
              </w:rPr>
              <w:t>2025</w:t>
            </w:r>
          </w:p>
        </w:tc>
        <w:tc>
          <w:tcPr>
            <w:tcW w:type="dxa" w:w="1928"/>
            <w:vAlign w:val="center"/>
          </w:tcPr>
          <w:p>
            <w:pPr>
              <w:spacing w:after="0" w:line="240" w:lineRule="auto"/>
              <w:jc w:val="center"/>
            </w:pPr>
            <w:r>
              <w:rPr>
                <w:rFonts w:ascii="Times New Roman" w:hAnsi="Times New Roman" w:eastAsia="Times New Roman"/>
                <w:b w:val="0"/>
                <w:sz w:val="13"/>
              </w:rPr>
              <w:t>Short</w:t>
            </w:r>
          </w:p>
        </w:tc>
        <w:tc>
          <w:tcPr>
            <w:tcW w:type="dxa" w:w="1928"/>
            <w:vAlign w:val="center"/>
          </w:tcPr>
          <w:p>
            <w:pPr>
              <w:spacing w:after="0" w:line="240" w:lineRule="auto"/>
              <w:jc w:val="center"/>
            </w:pPr>
            <w:r>
              <w:rPr>
                <w:rFonts w:ascii="Times New Roman" w:hAnsi="Times New Roman" w:eastAsia="Times New Roman"/>
                <w:b w:val="0"/>
                <w:sz w:val="13"/>
              </w:rPr>
              <w:t>190.16%</w:t>
            </w:r>
          </w:p>
        </w:tc>
        <w:tc>
          <w:tcPr>
            <w:tcW w:type="dxa" w:w="1928"/>
            <w:vAlign w:val="center"/>
          </w:tcPr>
          <w:p>
            <w:pPr>
              <w:spacing w:after="0" w:line="240" w:lineRule="auto"/>
              <w:jc w:val="center"/>
            </w:pPr>
            <w:r>
              <w:rPr>
                <w:rFonts w:ascii="Times New Roman" w:hAnsi="Times New Roman" w:eastAsia="Times New Roman"/>
                <w:b w:val="0"/>
                <w:sz w:val="13"/>
              </w:rPr>
              <w:t>216.92%</w:t>
            </w:r>
          </w:p>
        </w:tc>
        <w:tc>
          <w:tcPr>
            <w:tcW w:type="dxa" w:w="1928"/>
            <w:vAlign w:val="center"/>
          </w:tcPr>
          <w:p>
            <w:pPr>
              <w:spacing w:after="0" w:line="240" w:lineRule="auto"/>
              <w:jc w:val="center"/>
            </w:pPr>
            <w:r>
              <w:rPr>
                <w:rFonts w:ascii="Times New Roman" w:hAnsi="Times New Roman" w:eastAsia="Times New Roman"/>
                <w:b w:val="0"/>
                <w:sz w:val="13"/>
              </w:rPr>
              <w:t>60.08%</w:t>
            </w:r>
          </w:p>
        </w:tc>
      </w:tr>
      <w:tr>
        <w:tc>
          <w:tcPr>
            <w:tcW w:type="dxa" w:w="1928"/>
            <w:vAlign w:val="center"/>
          </w:tcPr>
          <w:p>
            <w:pPr>
              <w:spacing w:after="0" w:line="240" w:lineRule="auto"/>
              <w:jc w:val="center"/>
            </w:pPr>
            <w:r>
              <w:rPr>
                <w:rFonts w:ascii="Times New Roman" w:hAnsi="Times New Roman" w:eastAsia="Times New Roman"/>
                <w:b w:val="0"/>
                <w:sz w:val="13"/>
              </w:rPr>
              <w:t>2025</w:t>
            </w:r>
          </w:p>
        </w:tc>
        <w:tc>
          <w:tcPr>
            <w:tcW w:type="dxa" w:w="1928"/>
            <w:vAlign w:val="center"/>
          </w:tcPr>
          <w:p>
            <w:pPr>
              <w:spacing w:after="0" w:line="240" w:lineRule="auto"/>
              <w:jc w:val="center"/>
            </w:pPr>
            <w:r>
              <w:rPr>
                <w:rFonts w:ascii="Times New Roman" w:hAnsi="Times New Roman" w:eastAsia="Times New Roman"/>
                <w:b w:val="0"/>
                <w:sz w:val="13"/>
              </w:rPr>
              <w:t>Long</w:t>
            </w:r>
          </w:p>
        </w:tc>
        <w:tc>
          <w:tcPr>
            <w:tcW w:type="dxa" w:w="1928"/>
            <w:vAlign w:val="center"/>
          </w:tcPr>
          <w:p>
            <w:pPr>
              <w:spacing w:after="0" w:line="240" w:lineRule="auto"/>
              <w:jc w:val="center"/>
            </w:pPr>
            <w:r>
              <w:rPr>
                <w:rFonts w:ascii="Times New Roman" w:hAnsi="Times New Roman" w:eastAsia="Times New Roman"/>
                <w:b w:val="0"/>
                <w:sz w:val="13"/>
              </w:rPr>
              <w:t>103.29%</w:t>
            </w:r>
          </w:p>
        </w:tc>
        <w:tc>
          <w:tcPr>
            <w:tcW w:type="dxa" w:w="1928"/>
            <w:vAlign w:val="center"/>
          </w:tcPr>
          <w:p>
            <w:pPr>
              <w:spacing w:after="0" w:line="240" w:lineRule="auto"/>
              <w:jc w:val="center"/>
            </w:pPr>
            <w:r>
              <w:rPr>
                <w:rFonts w:ascii="Times New Roman" w:hAnsi="Times New Roman" w:eastAsia="Times New Roman"/>
                <w:b w:val="0"/>
                <w:sz w:val="13"/>
              </w:rPr>
              <w:t>82.78%</w:t>
            </w:r>
          </w:p>
        </w:tc>
        <w:tc>
          <w:tcPr>
            <w:tcW w:type="dxa" w:w="1928"/>
            <w:vAlign w:val="center"/>
          </w:tcPr>
          <w:p>
            <w:pPr>
              <w:spacing w:after="0" w:line="240" w:lineRule="auto"/>
              <w:jc w:val="center"/>
            </w:pPr>
            <w:r>
              <w:rPr>
                <w:rFonts w:ascii="Times New Roman" w:hAnsi="Times New Roman" w:eastAsia="Times New Roman"/>
                <w:b w:val="0"/>
                <w:sz w:val="13"/>
              </w:rPr>
              <w:t>94.71%</w:t>
            </w:r>
          </w:p>
        </w:tc>
      </w:tr>
      <w:tr>
        <w:tc>
          <w:tcPr>
            <w:tcW w:type="dxa" w:w="1928"/>
            <w:vAlign w:val="center"/>
          </w:tcPr>
          <w:p>
            <w:pPr>
              <w:spacing w:after="0" w:line="240" w:lineRule="auto"/>
              <w:jc w:val="center"/>
            </w:pPr>
            <w:r>
              <w:rPr>
                <w:rFonts w:ascii="Times New Roman" w:hAnsi="Times New Roman" w:eastAsia="Times New Roman"/>
                <w:b w:val="0"/>
                <w:sz w:val="13"/>
              </w:rPr>
              <w:t>2026Q1</w:t>
            </w:r>
          </w:p>
        </w:tc>
        <w:tc>
          <w:tcPr>
            <w:tcW w:type="dxa" w:w="1928"/>
            <w:vAlign w:val="center"/>
          </w:tcPr>
          <w:p>
            <w:pPr>
              <w:spacing w:after="0" w:line="240" w:lineRule="auto"/>
              <w:jc w:val="center"/>
            </w:pPr>
            <w:r>
              <w:rPr>
                <w:rFonts w:ascii="Times New Roman" w:hAnsi="Times New Roman" w:eastAsia="Times New Roman"/>
                <w:b w:val="0"/>
                <w:sz w:val="13"/>
              </w:rPr>
              <w:t>Short</w:t>
            </w:r>
          </w:p>
        </w:tc>
        <w:tc>
          <w:tcPr>
            <w:tcW w:type="dxa" w:w="1928"/>
            <w:vAlign w:val="center"/>
          </w:tcPr>
          <w:p>
            <w:pPr>
              <w:spacing w:after="0" w:line="240" w:lineRule="auto"/>
              <w:jc w:val="center"/>
            </w:pPr>
            <w:r>
              <w:rPr>
                <w:rFonts w:ascii="Times New Roman" w:hAnsi="Times New Roman" w:eastAsia="Times New Roman"/>
                <w:b w:val="0"/>
                <w:sz w:val="13"/>
              </w:rPr>
              <w:t>15.40%</w:t>
            </w:r>
          </w:p>
        </w:tc>
        <w:tc>
          <w:tcPr>
            <w:tcW w:type="dxa" w:w="1928"/>
            <w:vAlign w:val="center"/>
          </w:tcPr>
          <w:p>
            <w:pPr>
              <w:spacing w:after="0" w:line="240" w:lineRule="auto"/>
              <w:jc w:val="center"/>
            </w:pPr>
            <w:r>
              <w:rPr>
                <w:rFonts w:ascii="Times New Roman" w:hAnsi="Times New Roman" w:eastAsia="Times New Roman"/>
                <w:b w:val="0"/>
                <w:sz w:val="13"/>
              </w:rPr>
              <w:t>24.62%</w:t>
            </w:r>
          </w:p>
        </w:tc>
        <w:tc>
          <w:tcPr>
            <w:tcW w:type="dxa" w:w="1928"/>
            <w:vAlign w:val="center"/>
          </w:tcPr>
          <w:p>
            <w:pPr>
              <w:spacing w:after="0" w:line="240" w:lineRule="auto"/>
              <w:jc w:val="center"/>
            </w:pPr>
            <w:r>
              <w:rPr>
                <w:rFonts w:ascii="Times New Roman" w:hAnsi="Times New Roman" w:eastAsia="Times New Roman"/>
                <w:b w:val="0"/>
                <w:sz w:val="13"/>
              </w:rPr>
              <w:t>8.55%</w:t>
            </w:r>
          </w:p>
        </w:tc>
      </w:tr>
      <w:tr>
        <w:tc>
          <w:tcPr>
            <w:tcW w:type="dxa" w:w="1928"/>
            <w:vAlign w:val="center"/>
          </w:tcPr>
          <w:p>
            <w:pPr>
              <w:spacing w:after="0" w:line="240" w:lineRule="auto"/>
              <w:jc w:val="center"/>
            </w:pPr>
            <w:r>
              <w:rPr>
                <w:rFonts w:ascii="Times New Roman" w:hAnsi="Times New Roman" w:eastAsia="Times New Roman"/>
                <w:b w:val="0"/>
                <w:sz w:val="13"/>
              </w:rPr>
              <w:t>2026Q1</w:t>
            </w:r>
          </w:p>
        </w:tc>
        <w:tc>
          <w:tcPr>
            <w:tcW w:type="dxa" w:w="1928"/>
            <w:vAlign w:val="center"/>
          </w:tcPr>
          <w:p>
            <w:pPr>
              <w:spacing w:after="0" w:line="240" w:lineRule="auto"/>
              <w:jc w:val="center"/>
            </w:pPr>
            <w:r>
              <w:rPr>
                <w:rFonts w:ascii="Times New Roman" w:hAnsi="Times New Roman" w:eastAsia="Times New Roman"/>
                <w:b w:val="0"/>
                <w:sz w:val="13"/>
              </w:rPr>
              <w:t>Long</w:t>
            </w:r>
          </w:p>
        </w:tc>
        <w:tc>
          <w:tcPr>
            <w:tcW w:type="dxa" w:w="1928"/>
            <w:vAlign w:val="center"/>
          </w:tcPr>
          <w:p>
            <w:pPr>
              <w:spacing w:after="0" w:line="240" w:lineRule="auto"/>
              <w:jc w:val="center"/>
            </w:pPr>
            <w:r>
              <w:rPr>
                <w:rFonts w:ascii="Times New Roman" w:hAnsi="Times New Roman" w:eastAsia="Times New Roman"/>
                <w:b w:val="0"/>
                <w:sz w:val="13"/>
              </w:rPr>
              <w:t>14.20%</w:t>
            </w:r>
          </w:p>
        </w:tc>
        <w:tc>
          <w:tcPr>
            <w:tcW w:type="dxa" w:w="1928"/>
            <w:vAlign w:val="center"/>
          </w:tcPr>
          <w:p>
            <w:pPr>
              <w:spacing w:after="0" w:line="240" w:lineRule="auto"/>
              <w:jc w:val="center"/>
            </w:pPr>
            <w:r>
              <w:rPr>
                <w:rFonts w:ascii="Times New Roman" w:hAnsi="Times New Roman" w:eastAsia="Times New Roman"/>
                <w:b w:val="0"/>
                <w:sz w:val="13"/>
              </w:rPr>
              <w:t>6.14%</w:t>
            </w:r>
          </w:p>
        </w:tc>
        <w:tc>
          <w:tcPr>
            <w:tcW w:type="dxa" w:w="1928"/>
            <w:vAlign w:val="center"/>
          </w:tcPr>
          <w:p>
            <w:pPr>
              <w:spacing w:after="0" w:line="240" w:lineRule="auto"/>
              <w:jc w:val="center"/>
            </w:pPr>
            <w:r>
              <w:rPr>
                <w:rFonts w:ascii="Times New Roman" w:hAnsi="Times New Roman" w:eastAsia="Times New Roman"/>
                <w:b w:val="0"/>
                <w:sz w:val="13"/>
              </w:rPr>
              <w:t>0.00%</w:t>
            </w:r>
          </w:p>
        </w:tc>
      </w:tr>
    </w:tbl>
    <w:p>
      <w:pPr>
        <w:spacing w:after="80" w:line="252" w:lineRule="auto"/>
      </w:pPr>
    </w:p>
    <w:p>
      <w:pPr>
        <w:pStyle w:val="af2"/>
        <w:spacing w:after="80" w:line="252" w:lineRule="auto"/>
      </w:pPr>
      <w:r>
        <w:rPr>
          <w:rFonts w:ascii="Times New Roman" w:hAnsi="Times New Roman" w:eastAsia="바탕"/>
          <w:b w:val="0"/>
          <w:sz w:val="18"/>
        </w:rPr>
        <w:t>추가 감사에서는 최근 AI 테마 corpus의 세 `as_of_date` 샘플에 대해 문서의 `published_at`과 가격 데이터의 `timestamp`가 의사결정일을 넘지 않는지 확인하였다. Table 3에서 각 샘플의 최대 문서일과 최대 가격일은 모두 `as_of_date` 이하였고, 미래 날짜 레코드는 검색 및 가격 특징 계산에서 제외되었다.</w:t>
      </w:r>
    </w:p>
    <w:p>
      <w:pPr>
        <w:spacing w:after="80" w:line="252" w:lineRule="auto"/>
        <w:jc w:val="left"/>
      </w:pPr>
      <w:r>
        <w:rPr>
          <w:rFonts w:ascii="Times New Roman" w:hAnsi="Times New Roman" w:eastAsia="바탕"/>
          <w:b w:val="0"/>
          <w:sz w:val="15"/>
        </w:rPr>
        <w:t>Table 3. Temporal evidence leakage audit sample.</w:t>
      </w:r>
    </w:p>
    <w:tbl>
      <w:tblPr>
        <w:tblStyle w:val="af4"/>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vAlign w:val="center"/>
            <w:shd w:fill="E9EEF4"/>
          </w:tcPr>
          <w:p>
            <w:pPr>
              <w:spacing w:after="0" w:line="240" w:lineRule="auto"/>
              <w:jc w:val="center"/>
            </w:pPr>
            <w:r>
              <w:rPr>
                <w:rFonts w:ascii="Times New Roman" w:hAnsi="Times New Roman" w:eastAsia="Times New Roman"/>
                <w:b/>
                <w:sz w:val="13"/>
              </w:rPr>
              <w:t>as_of</w:t>
            </w:r>
          </w:p>
        </w:tc>
        <w:tc>
          <w:tcPr>
            <w:tcW w:type="dxa" w:w="1606"/>
            <w:vAlign w:val="center"/>
            <w:shd w:fill="E9EEF4"/>
          </w:tcPr>
          <w:p>
            <w:pPr>
              <w:spacing w:after="0" w:line="240" w:lineRule="auto"/>
              <w:jc w:val="center"/>
            </w:pPr>
            <w:r>
              <w:rPr>
                <w:rFonts w:ascii="Times New Roman" w:hAnsi="Times New Roman" w:eastAsia="Times New Roman"/>
                <w:b/>
                <w:sz w:val="13"/>
              </w:rPr>
              <w:t>Docs</w:t>
            </w:r>
          </w:p>
        </w:tc>
        <w:tc>
          <w:tcPr>
            <w:tcW w:type="dxa" w:w="1606"/>
            <w:vAlign w:val="center"/>
            <w:shd w:fill="E9EEF4"/>
          </w:tcPr>
          <w:p>
            <w:pPr>
              <w:spacing w:after="0" w:line="240" w:lineRule="auto"/>
              <w:jc w:val="center"/>
            </w:pPr>
            <w:r>
              <w:rPr>
                <w:rFonts w:ascii="Times New Roman" w:hAnsi="Times New Roman" w:eastAsia="Times New Roman"/>
                <w:b/>
                <w:sz w:val="13"/>
              </w:rPr>
              <w:t>Max doc</w:t>
            </w:r>
          </w:p>
        </w:tc>
        <w:tc>
          <w:tcPr>
            <w:tcW w:type="dxa" w:w="1606"/>
            <w:vAlign w:val="center"/>
            <w:shd w:fill="E9EEF4"/>
          </w:tcPr>
          <w:p>
            <w:pPr>
              <w:spacing w:after="0" w:line="240" w:lineRule="auto"/>
              <w:jc w:val="center"/>
            </w:pPr>
            <w:r>
              <w:rPr>
                <w:rFonts w:ascii="Times New Roman" w:hAnsi="Times New Roman" w:eastAsia="Times New Roman"/>
                <w:b/>
                <w:sz w:val="13"/>
              </w:rPr>
              <w:t>Prices</w:t>
            </w:r>
          </w:p>
        </w:tc>
        <w:tc>
          <w:tcPr>
            <w:tcW w:type="dxa" w:w="1606"/>
            <w:vAlign w:val="center"/>
            <w:shd w:fill="E9EEF4"/>
          </w:tcPr>
          <w:p>
            <w:pPr>
              <w:spacing w:after="0" w:line="240" w:lineRule="auto"/>
              <w:jc w:val="center"/>
            </w:pPr>
            <w:r>
              <w:rPr>
                <w:rFonts w:ascii="Times New Roman" w:hAnsi="Times New Roman" w:eastAsia="Times New Roman"/>
                <w:b/>
                <w:sz w:val="13"/>
              </w:rPr>
              <w:t>Max price</w:t>
            </w:r>
          </w:p>
        </w:tc>
        <w:tc>
          <w:tcPr>
            <w:tcW w:type="dxa" w:w="1606"/>
            <w:vAlign w:val="center"/>
            <w:shd w:fill="E9EEF4"/>
          </w:tcPr>
          <w:p>
            <w:pPr>
              <w:spacing w:after="0" w:line="240" w:lineRule="auto"/>
              <w:jc w:val="center"/>
            </w:pPr>
            <w:r>
              <w:rPr>
                <w:rFonts w:ascii="Times New Roman" w:hAnsi="Times New Roman" w:eastAsia="Times New Roman"/>
                <w:b/>
                <w:sz w:val="13"/>
              </w:rPr>
              <w:t>Future d/p</w:t>
            </w:r>
          </w:p>
        </w:tc>
      </w:tr>
      <w:tr>
        <w:tc>
          <w:tcPr>
            <w:tcW w:type="dxa" w:w="1606"/>
            <w:vAlign w:val="center"/>
          </w:tcPr>
          <w:p>
            <w:pPr>
              <w:spacing w:after="0" w:line="240" w:lineRule="auto"/>
              <w:jc w:val="center"/>
            </w:pPr>
            <w:r>
              <w:rPr>
                <w:rFonts w:ascii="Times New Roman" w:hAnsi="Times New Roman" w:eastAsia="Times New Roman"/>
                <w:b w:val="0"/>
                <w:sz w:val="13"/>
              </w:rPr>
              <w:t>2026-05-20</w:t>
            </w:r>
          </w:p>
        </w:tc>
        <w:tc>
          <w:tcPr>
            <w:tcW w:type="dxa" w:w="1606"/>
            <w:vAlign w:val="center"/>
          </w:tcPr>
          <w:p>
            <w:pPr>
              <w:spacing w:after="0" w:line="240" w:lineRule="auto"/>
              <w:jc w:val="center"/>
            </w:pPr>
            <w:r>
              <w:rPr>
                <w:rFonts w:ascii="Times New Roman" w:hAnsi="Times New Roman" w:eastAsia="Times New Roman"/>
                <w:b w:val="0"/>
                <w:sz w:val="13"/>
              </w:rPr>
              <w:t>847</w:t>
            </w:r>
          </w:p>
        </w:tc>
        <w:tc>
          <w:tcPr>
            <w:tcW w:type="dxa" w:w="1606"/>
            <w:vAlign w:val="center"/>
          </w:tcPr>
          <w:p>
            <w:pPr>
              <w:spacing w:after="0" w:line="240" w:lineRule="auto"/>
              <w:jc w:val="center"/>
            </w:pPr>
            <w:r>
              <w:rPr>
                <w:rFonts w:ascii="Times New Roman" w:hAnsi="Times New Roman" w:eastAsia="Times New Roman"/>
                <w:b w:val="0"/>
                <w:sz w:val="13"/>
              </w:rPr>
              <w:t>2026-05-20</w:t>
            </w:r>
          </w:p>
        </w:tc>
        <w:tc>
          <w:tcPr>
            <w:tcW w:type="dxa" w:w="1606"/>
            <w:vAlign w:val="center"/>
          </w:tcPr>
          <w:p>
            <w:pPr>
              <w:spacing w:after="0" w:line="240" w:lineRule="auto"/>
              <w:jc w:val="center"/>
            </w:pPr>
            <w:r>
              <w:rPr>
                <w:rFonts w:ascii="Times New Roman" w:hAnsi="Times New Roman" w:eastAsia="Times New Roman"/>
                <w:b w:val="0"/>
                <w:sz w:val="13"/>
              </w:rPr>
              <w:t>400</w:t>
            </w:r>
          </w:p>
        </w:tc>
        <w:tc>
          <w:tcPr>
            <w:tcW w:type="dxa" w:w="1606"/>
            <w:vAlign w:val="center"/>
          </w:tcPr>
          <w:p>
            <w:pPr>
              <w:spacing w:after="0" w:line="240" w:lineRule="auto"/>
              <w:jc w:val="center"/>
            </w:pPr>
            <w:r>
              <w:rPr>
                <w:rFonts w:ascii="Times New Roman" w:hAnsi="Times New Roman" w:eastAsia="Times New Roman"/>
                <w:b w:val="0"/>
                <w:sz w:val="13"/>
              </w:rPr>
              <w:t>2026-05-20</w:t>
            </w:r>
          </w:p>
        </w:tc>
        <w:tc>
          <w:tcPr>
            <w:tcW w:type="dxa" w:w="1606"/>
            <w:vAlign w:val="center"/>
          </w:tcPr>
          <w:p>
            <w:pPr>
              <w:spacing w:after="0" w:line="240" w:lineRule="auto"/>
              <w:jc w:val="center"/>
            </w:pPr>
            <w:r>
              <w:rPr>
                <w:rFonts w:ascii="Times New Roman" w:hAnsi="Times New Roman" w:eastAsia="Times New Roman"/>
                <w:b w:val="0"/>
                <w:sz w:val="13"/>
              </w:rPr>
              <w:t>6151/650</w:t>
            </w:r>
          </w:p>
        </w:tc>
      </w:tr>
      <w:tr>
        <w:tc>
          <w:tcPr>
            <w:tcW w:type="dxa" w:w="1606"/>
            <w:vAlign w:val="center"/>
          </w:tcPr>
          <w:p>
            <w:pPr>
              <w:spacing w:after="0" w:line="240" w:lineRule="auto"/>
              <w:jc w:val="center"/>
            </w:pPr>
            <w:r>
              <w:rPr>
                <w:rFonts w:ascii="Times New Roman" w:hAnsi="Times New Roman" w:eastAsia="Times New Roman"/>
                <w:b w:val="0"/>
                <w:sz w:val="13"/>
              </w:rPr>
              <w:t>2026-05-31</w:t>
            </w:r>
          </w:p>
        </w:tc>
        <w:tc>
          <w:tcPr>
            <w:tcW w:type="dxa" w:w="1606"/>
            <w:vAlign w:val="center"/>
          </w:tcPr>
          <w:p>
            <w:pPr>
              <w:spacing w:after="0" w:line="240" w:lineRule="auto"/>
              <w:jc w:val="center"/>
            </w:pPr>
            <w:r>
              <w:rPr>
                <w:rFonts w:ascii="Times New Roman" w:hAnsi="Times New Roman" w:eastAsia="Times New Roman"/>
                <w:b w:val="0"/>
                <w:sz w:val="13"/>
              </w:rPr>
              <w:t>2130</w:t>
            </w:r>
          </w:p>
        </w:tc>
        <w:tc>
          <w:tcPr>
            <w:tcW w:type="dxa" w:w="1606"/>
            <w:vAlign w:val="center"/>
          </w:tcPr>
          <w:p>
            <w:pPr>
              <w:spacing w:after="0" w:line="240" w:lineRule="auto"/>
              <w:jc w:val="center"/>
            </w:pPr>
            <w:r>
              <w:rPr>
                <w:rFonts w:ascii="Times New Roman" w:hAnsi="Times New Roman" w:eastAsia="Times New Roman"/>
                <w:b w:val="0"/>
                <w:sz w:val="13"/>
              </w:rPr>
              <w:t>2026-05-31</w:t>
            </w:r>
          </w:p>
        </w:tc>
        <w:tc>
          <w:tcPr>
            <w:tcW w:type="dxa" w:w="1606"/>
            <w:vAlign w:val="center"/>
          </w:tcPr>
          <w:p>
            <w:pPr>
              <w:spacing w:after="0" w:line="240" w:lineRule="auto"/>
              <w:jc w:val="center"/>
            </w:pPr>
            <w:r>
              <w:rPr>
                <w:rFonts w:ascii="Times New Roman" w:hAnsi="Times New Roman" w:eastAsia="Times New Roman"/>
                <w:b w:val="0"/>
                <w:sz w:val="13"/>
              </w:rPr>
              <w:t>700</w:t>
            </w:r>
          </w:p>
        </w:tc>
        <w:tc>
          <w:tcPr>
            <w:tcW w:type="dxa" w:w="1606"/>
            <w:vAlign w:val="center"/>
          </w:tcPr>
          <w:p>
            <w:pPr>
              <w:spacing w:after="0" w:line="240" w:lineRule="auto"/>
              <w:jc w:val="center"/>
            </w:pPr>
            <w:r>
              <w:rPr>
                <w:rFonts w:ascii="Times New Roman" w:hAnsi="Times New Roman" w:eastAsia="Times New Roman"/>
                <w:b w:val="0"/>
                <w:sz w:val="13"/>
              </w:rPr>
              <w:t>2026-05-29</w:t>
            </w:r>
          </w:p>
        </w:tc>
        <w:tc>
          <w:tcPr>
            <w:tcW w:type="dxa" w:w="1606"/>
            <w:vAlign w:val="center"/>
          </w:tcPr>
          <w:p>
            <w:pPr>
              <w:spacing w:after="0" w:line="240" w:lineRule="auto"/>
              <w:jc w:val="center"/>
            </w:pPr>
            <w:r>
              <w:rPr>
                <w:rFonts w:ascii="Times New Roman" w:hAnsi="Times New Roman" w:eastAsia="Times New Roman"/>
                <w:b w:val="0"/>
                <w:sz w:val="13"/>
              </w:rPr>
              <w:t>4868/350</w:t>
            </w:r>
          </w:p>
        </w:tc>
      </w:tr>
      <w:tr>
        <w:tc>
          <w:tcPr>
            <w:tcW w:type="dxa" w:w="1606"/>
            <w:vAlign w:val="center"/>
          </w:tcPr>
          <w:p>
            <w:pPr>
              <w:spacing w:after="0" w:line="240" w:lineRule="auto"/>
              <w:jc w:val="center"/>
            </w:pPr>
            <w:r>
              <w:rPr>
                <w:rFonts w:ascii="Times New Roman" w:hAnsi="Times New Roman" w:eastAsia="Times New Roman"/>
                <w:b w:val="0"/>
                <w:sz w:val="13"/>
              </w:rPr>
              <w:t>2026-06-10</w:t>
            </w:r>
          </w:p>
        </w:tc>
        <w:tc>
          <w:tcPr>
            <w:tcW w:type="dxa" w:w="1606"/>
            <w:vAlign w:val="center"/>
          </w:tcPr>
          <w:p>
            <w:pPr>
              <w:spacing w:after="0" w:line="240" w:lineRule="auto"/>
              <w:jc w:val="center"/>
            </w:pPr>
            <w:r>
              <w:rPr>
                <w:rFonts w:ascii="Times New Roman" w:hAnsi="Times New Roman" w:eastAsia="Times New Roman"/>
                <w:b w:val="0"/>
                <w:sz w:val="13"/>
              </w:rPr>
              <w:t>6998</w:t>
            </w:r>
          </w:p>
        </w:tc>
        <w:tc>
          <w:tcPr>
            <w:tcW w:type="dxa" w:w="1606"/>
            <w:vAlign w:val="center"/>
          </w:tcPr>
          <w:p>
            <w:pPr>
              <w:spacing w:after="0" w:line="240" w:lineRule="auto"/>
              <w:jc w:val="center"/>
            </w:pPr>
            <w:r>
              <w:rPr>
                <w:rFonts w:ascii="Times New Roman" w:hAnsi="Times New Roman" w:eastAsia="Times New Roman"/>
                <w:b w:val="0"/>
                <w:sz w:val="13"/>
              </w:rPr>
              <w:t>2026-06-10</w:t>
            </w:r>
          </w:p>
        </w:tc>
        <w:tc>
          <w:tcPr>
            <w:tcW w:type="dxa" w:w="1606"/>
            <w:vAlign w:val="center"/>
          </w:tcPr>
          <w:p>
            <w:pPr>
              <w:spacing w:after="0" w:line="240" w:lineRule="auto"/>
              <w:jc w:val="center"/>
            </w:pPr>
            <w:r>
              <w:rPr>
                <w:rFonts w:ascii="Times New Roman" w:hAnsi="Times New Roman" w:eastAsia="Times New Roman"/>
                <w:b w:val="0"/>
                <w:sz w:val="13"/>
              </w:rPr>
              <w:t>1050</w:t>
            </w:r>
          </w:p>
        </w:tc>
        <w:tc>
          <w:tcPr>
            <w:tcW w:type="dxa" w:w="1606"/>
            <w:vAlign w:val="center"/>
          </w:tcPr>
          <w:p>
            <w:pPr>
              <w:spacing w:after="0" w:line="240" w:lineRule="auto"/>
              <w:jc w:val="center"/>
            </w:pPr>
            <w:r>
              <w:rPr>
                <w:rFonts w:ascii="Times New Roman" w:hAnsi="Times New Roman" w:eastAsia="Times New Roman"/>
                <w:b w:val="0"/>
                <w:sz w:val="13"/>
              </w:rPr>
              <w:t>2026-06-10</w:t>
            </w:r>
          </w:p>
        </w:tc>
        <w:tc>
          <w:tcPr>
            <w:tcW w:type="dxa" w:w="1606"/>
            <w:vAlign w:val="center"/>
          </w:tcPr>
          <w:p>
            <w:pPr>
              <w:spacing w:after="0" w:line="240" w:lineRule="auto"/>
              <w:jc w:val="center"/>
            </w:pPr>
            <w:r>
              <w:rPr>
                <w:rFonts w:ascii="Times New Roman" w:hAnsi="Times New Roman" w:eastAsia="Times New Roman"/>
                <w:b w:val="0"/>
                <w:sz w:val="13"/>
              </w:rPr>
              <w:t>0/0</w:t>
            </w:r>
          </w:p>
        </w:tc>
      </w:tr>
    </w:tbl>
    <w:p>
      <w:pPr>
        <w:spacing w:after="80" w:line="252" w:lineRule="auto"/>
      </w:pPr>
    </w:p>
    <w:p>
      <w:pPr>
        <w:pStyle w:val="af2"/>
        <w:spacing w:after="80" w:line="252" w:lineRule="auto"/>
      </w:pPr>
      <w:r>
        <w:rPr>
          <w:rFonts w:ascii="Times New Roman" w:hAnsi="Times New Roman" w:eastAsia="바탕"/>
          <w:b w:val="0"/>
          <w:sz w:val="18"/>
        </w:rPr>
        <w:t>결과는 hybrid multi-agent가 모든 상황에서 우월한 보편 전략이 아님을 보여준다. 특히 LLM-only도 2024 short와 2026Q1 short 일부 비교에서 hybrid를 상회하므로, hybrid 구조의 장점은 일관된 수익률 우위가 아니라 역할별 근거 분해와 위험 해석 가능성으로 제한해 해석해야 한다. Table 2는 수익률 중심 요약이며, MDD와 Sharpe 같은 위험 조정 지표는 보조 산출물에서 함께 점검하였다. 오히려 본 검증의 의미는 복수 기준선을 동시에 두어 결과를 과장하지 않고, 각 의사결정 시점에서 어떤 문서와 가격 특징이 사용되었는지 추적할 수 있다는 데 있다. 결정론적 및 기술지표 기준선이 강한 구간은 Agentic AI 결과를 해석하는 하한선 또는 경쟁 기준으로 작동한다. 따라서 본 연구의 결과는 수익률 중심의 자동매매 모델이 아니라 시간 경계가 있는 산업 후보군 검증 방법론으로 해석되어야 한다.</w:t>
      </w:r>
    </w:p>
    <w:p>
      <w:pPr>
        <w:pStyle w:val="af1"/>
        <w:spacing w:after="100" w:line="252" w:lineRule="auto" w:before="100"/>
      </w:pPr>
      <w:r>
        <w:rPr>
          <w:rFonts w:ascii="Times New Roman" w:hAnsi="Times New Roman" w:eastAsia="바탕"/>
          <w:b/>
          <w:sz w:val="20"/>
        </w:rPr>
        <w:t>4. 결론</w:t>
      </w:r>
    </w:p>
    <w:p>
      <w:pPr>
        <w:pStyle w:val="af2"/>
        <w:spacing w:after="80" w:line="252" w:lineRule="auto"/>
      </w:pPr>
      <w:r>
        <w:rPr>
          <w:rFonts w:ascii="Times New Roman" w:hAnsi="Times New Roman" w:eastAsia="바탕"/>
          <w:b w:val="0"/>
          <w:sz w:val="18"/>
        </w:rPr>
        <w:t>본 연구는 동적 산업 테마 후보군 평가에서 Temporal RAG와 역할 분화 Agentic AI를 결합한 point-in-time 검증 프레임워크를 제안하였다. 제안 프레임워크는 의사결정 시점 이전 근거만 사용하도록 문서와 가격 특징을 제한하고, 후보 선정 이후의 미래 수익률을 별도 평가 단계로 분리한다. AI 산업 테마 실험에서 hybrid multi-agent는 8개 기간-구간 조합 중 일부에서 결정론적 및 기술지표 기준선과 경쟁적인 결과를 보였으나, 2025년은 tuning/reference 구간이고 2026Q1 long은 pilot 표본이라는 제약을 갖는다. 모든 구간에서 일관된 우월성을 보이지도 않았다.</w:t>
      </w:r>
    </w:p>
    <w:p>
      <w:pPr>
        <w:pStyle w:val="af2"/>
        <w:spacing w:after="80" w:line="252" w:lineRule="auto"/>
      </w:pPr>
      <w:r>
        <w:rPr>
          <w:rFonts w:ascii="Times New Roman" w:hAnsi="Times New Roman" w:eastAsia="바탕"/>
          <w:b w:val="0"/>
          <w:sz w:val="18"/>
        </w:rPr>
        <w:t>따라서 본 연구의 핵심 주장은 성과 보장이 아니라 검증 프로토콜, 근거 추적성, 역할별 의사결정 지원 구조이다. 향후 연구에서는 공식 과거 테마 편입 이력 확보, 다중 테마 end-to-end 백테스트, 장기간 paper trading 로그 기반 운영 검증, 실시간 주문 지연 및 체결 실패를 포함한 실행 품질 평가를 추가할 필요가 있다.</w:t>
      </w:r>
    </w:p>
    <w:p>
      <w:pPr>
        <w:pStyle w:val="af1"/>
        <w:spacing w:after="100" w:line="252" w:lineRule="auto" w:before="100"/>
      </w:pPr>
      <w:r>
        <w:rPr>
          <w:rFonts w:ascii="Times New Roman" w:hAnsi="Times New Roman" w:eastAsia="바탕"/>
          <w:b/>
          <w:sz w:val="20"/>
        </w:rPr>
        <w:t>감사의 글</w:t>
      </w:r>
    </w:p>
    <w:p>
      <w:pPr>
        <w:pStyle w:val="af2"/>
        <w:spacing w:after="80" w:line="252" w:lineRule="auto"/>
      </w:pPr>
      <w:r>
        <w:rPr>
          <w:rFonts w:ascii="Times New Roman" w:hAnsi="Times New Roman" w:eastAsia="바탕"/>
          <w:b w:val="0"/>
          <w:sz w:val="18"/>
        </w:rPr>
        <w:t>본 연구는 개인 연구 프로젝트의 실험 결과를 기반으로 작성되었으며, 별도의 외부 연구비 지원은 없었다.</w:t>
      </w:r>
    </w:p>
    <w:p>
      <w:pPr>
        <w:pStyle w:val="af1"/>
        <w:spacing w:after="100" w:line="252" w:lineRule="auto" w:before="100"/>
      </w:pPr>
      <w:r>
        <w:rPr>
          <w:rFonts w:ascii="Times New Roman" w:hAnsi="Times New Roman" w:eastAsia="바탕"/>
          <w:b/>
          <w:sz w:val="20"/>
        </w:rPr>
        <w:t>참고문헌</w:t>
      </w:r>
    </w:p>
    <w:p>
      <w:pPr>
        <w:pStyle w:val="a2"/>
        <w:spacing w:after="80" w:line="252" w:lineRule="auto"/>
      </w:pPr>
      <w:r>
        <w:rPr>
          <w:rFonts w:ascii="Times New Roman" w:hAnsi="Times New Roman" w:eastAsia="바탕"/>
          <w:b w:val="0"/>
          <w:sz w:val="15"/>
        </w:rPr>
        <w:t>Lewis, P., Perez, E., Piktus, A., Petroni, F., Karpukhin, V., Goyal, N., Kuttler, H., Lewis, M., Yih, W., Rocktaschel, T., Riedel, S. and Kiela, D., 2020, Retrieval-Augmented Generation for Knowledge-Intensive NLP Tasks, Advances in Neural Information Processing Systems, 33, pp.9459-9474, https://arxiv.org/abs/2005.11401.</w:t>
      </w:r>
    </w:p>
    <w:p>
      <w:pPr>
        <w:pStyle w:val="a2"/>
        <w:spacing w:after="80" w:line="252" w:lineRule="auto"/>
      </w:pPr>
      <w:r>
        <w:rPr>
          <w:rFonts w:ascii="Times New Roman" w:hAnsi="Times New Roman" w:eastAsia="바탕"/>
          <w:b w:val="0"/>
          <w:sz w:val="15"/>
        </w:rPr>
        <w:t>Yao, S., Zhao, J., Yu, D., Du, N., Shafran, I., Narasimhan, K. and Cao, Y., 2023, ReAct: Synergizing Reasoning and Acting in Language Models, International Conference on Learning Representations, https://openreview.net/forum?id=WE_vluYUL-X.</w:t>
      </w:r>
    </w:p>
    <w:p>
      <w:pPr>
        <w:pStyle w:val="a2"/>
        <w:spacing w:after="80" w:line="252" w:lineRule="auto"/>
      </w:pPr>
      <w:r>
        <w:rPr>
          <w:rFonts w:ascii="Times New Roman" w:hAnsi="Times New Roman" w:eastAsia="바탕"/>
          <w:b w:val="0"/>
          <w:sz w:val="15"/>
        </w:rPr>
        <w:t>Bailey, D.H., Borwein, J.M., Lopez de Prado, M. and Zhu, Q.J., 2017, The Probability of Backtest Overfitting, Journal of Computational Finance, 20(4), pp.39-69, https://doi.org/10.21314/JCF.2016.322.</w:t>
      </w:r>
    </w:p>
    <w:sectPr w:rsidR="007C247A" w:rsidSect="000536EA">
      <w:footerReference w:type="even" r:id="rId14"/>
      <w:footerReference w:type="default" r:id="rId15"/>
      <w:type w:val="continuous"/>
      <w:pgSz w:w="11906" w:h="16838"/>
      <w:pgMar w:top="851" w:right="1134" w:bottom="851" w:left="1134" w:header="1191" w:footer="454"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8DA7" w14:textId="77777777" w:rsidR="000751E3" w:rsidRDefault="000751E3" w:rsidP="00D9626D">
      <w:r>
        <w:separator/>
      </w:r>
    </w:p>
  </w:endnote>
  <w:endnote w:type="continuationSeparator" w:id="0">
    <w:p w14:paraId="052F60C1" w14:textId="77777777" w:rsidR="000751E3" w:rsidRDefault="000751E3" w:rsidP="00D96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바탕체"/>
    <w:panose1 w:val="00000000000000000000"/>
    <w:charset w:val="81"/>
    <w:family w:val="roman"/>
    <w:notTrueType/>
    <w:pitch w:val="default"/>
    <w:sig w:usb0="00000000"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9F66" w14:textId="7443D9C3" w:rsidR="00C73A3F" w:rsidRPr="00A10C4D" w:rsidRDefault="00C73A3F" w:rsidP="00E93485">
    <w:pPr>
      <w:pStyle w:val="ac"/>
      <w:ind w:firstLine="0"/>
    </w:pPr>
    <w:r w:rsidRPr="00254992">
      <w:rPr>
        <w:b/>
        <w:bCs/>
        <w:sz w:val="16"/>
        <w:szCs w:val="18"/>
      </w:rPr>
      <w:t>*</w:t>
    </w:r>
    <w:r w:rsidRPr="00254992">
      <w:rPr>
        <w:rFonts w:eastAsia="굴림"/>
        <w:b/>
        <w:bCs/>
        <w:sz w:val="16"/>
        <w:szCs w:val="18"/>
      </w:rPr>
      <w:t>발표자</w:t>
    </w:r>
    <w:r w:rsidR="00B25859">
      <w:rPr>
        <w:rFonts w:eastAsia="굴림" w:hint="eastAsia"/>
        <w:color w:val="000000" w:themeColor="text1"/>
        <w:sz w:val="16"/>
        <w:szCs w:val="18"/>
      </w:rPr>
      <w:t>(abc@cde.or.kr)</w:t>
    </w:r>
    <w:r w:rsidRPr="00A10C4D">
      <w:rPr>
        <w:rFonts w:eastAsia="굴림"/>
        <w:color w:val="000000" w:themeColor="text1"/>
        <w:sz w:val="16"/>
        <w:szCs w:val="18"/>
      </w:rPr>
      <w:t>,</w:t>
    </w:r>
    <w:r w:rsidRPr="00254992">
      <w:rPr>
        <w:rFonts w:eastAsia="굴림"/>
        <w:b/>
        <w:bCs/>
        <w:sz w:val="16"/>
        <w:szCs w:val="18"/>
      </w:rPr>
      <w:t xml:space="preserve"> </w:t>
    </w:r>
    <w:r w:rsidRPr="00254992">
      <w:rPr>
        <w:rFonts w:eastAsia="굴림"/>
        <w:b/>
        <w:bCs/>
        <w:sz w:val="16"/>
        <w:szCs w:val="18"/>
        <w:vertAlign w:val="superscript"/>
      </w:rPr>
      <w:t>#</w:t>
    </w:r>
    <w:r w:rsidRPr="00254992">
      <w:rPr>
        <w:rFonts w:eastAsia="굴림"/>
        <w:b/>
        <w:bCs/>
        <w:sz w:val="16"/>
        <w:szCs w:val="18"/>
      </w:rPr>
      <w:t>교신저자</w:t>
    </w:r>
    <w:r w:rsidR="00B25859">
      <w:rPr>
        <w:color w:val="000000" w:themeColor="text1"/>
        <w:sz w:val="16"/>
        <w:szCs w:val="18"/>
      </w:rPr>
      <w:t>(</w:t>
    </w:r>
    <w:proofErr w:type="gramStart"/>
    <w:r w:rsidR="00B25859">
      <w:rPr>
        <w:color w:val="000000" w:themeColor="text1"/>
        <w:sz w:val="16"/>
        <w:szCs w:val="18"/>
      </w:rPr>
      <w:t>abcd@cde.or</w:t>
    </w:r>
    <w:r w:rsidRPr="00A10C4D">
      <w:rPr>
        <w:color w:val="000000" w:themeColor="text1"/>
        <w:sz w:val="16"/>
        <w:szCs w:val="18"/>
      </w:rPr>
      <w:t>.kr )</w:t>
    </w:r>
    <w:proofErr w:type="gramEnd"/>
    <w:r w:rsidR="00254992">
      <w:rPr>
        <w:color w:val="000000" w:themeColor="text1"/>
        <w:sz w:val="16"/>
        <w:szCs w:val="18"/>
      </w:rPr>
      <w:t xml:space="preserve"> </w:t>
    </w:r>
    <w:r w:rsidR="00254992" w:rsidRPr="003C3CE2">
      <w:rPr>
        <w:color w:val="FF0000"/>
        <w:sz w:val="18"/>
        <w:szCs w:val="18"/>
      </w:rPr>
      <w:t>[</w:t>
    </w:r>
    <w:r w:rsidR="00254992">
      <w:rPr>
        <w:rFonts w:hint="eastAsia"/>
        <w:color w:val="FF0000"/>
        <w:sz w:val="18"/>
        <w:szCs w:val="18"/>
      </w:rPr>
      <w:t>이메일</w:t>
    </w:r>
    <w:r w:rsidR="00254992">
      <w:rPr>
        <w:rFonts w:hint="eastAsia"/>
        <w:color w:val="FF0000"/>
        <w:sz w:val="18"/>
        <w:szCs w:val="18"/>
      </w:rPr>
      <w:t xml:space="preserve"> </w:t>
    </w:r>
    <w:r w:rsidR="00254992">
      <w:rPr>
        <w:rFonts w:hint="eastAsia"/>
        <w:color w:val="FF0000"/>
        <w:sz w:val="18"/>
        <w:szCs w:val="18"/>
      </w:rPr>
      <w:t>주소만</w:t>
    </w:r>
    <w:r w:rsidR="00254992">
      <w:rPr>
        <w:rFonts w:hint="eastAsia"/>
        <w:color w:val="FF0000"/>
        <w:sz w:val="18"/>
        <w:szCs w:val="18"/>
      </w:rPr>
      <w:t xml:space="preserve"> </w:t>
    </w:r>
    <w:r w:rsidR="00254992">
      <w:rPr>
        <w:rFonts w:hint="eastAsia"/>
        <w:color w:val="FF0000"/>
        <w:sz w:val="18"/>
        <w:szCs w:val="18"/>
      </w:rPr>
      <w:t>변경</w:t>
    </w:r>
    <w:r w:rsidR="00254992" w:rsidRPr="003C3CE2">
      <w:rPr>
        <w:color w:val="FF0000"/>
        <w:sz w:val="18"/>
        <w:szCs w:val="1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BABE" w14:textId="794A491D" w:rsidR="007C247A" w:rsidRPr="007C247A" w:rsidRDefault="007C247A" w:rsidP="007C247A">
    <w:pPr>
      <w:pStyle w:val="ac"/>
      <w:ind w:firstLine="0"/>
    </w:pPr>
    <w:r w:rsidRPr="00254992">
      <w:rPr>
        <w:b/>
        <w:bCs/>
        <w:sz w:val="16"/>
        <w:szCs w:val="18"/>
      </w:rPr>
      <w:t>*</w:t>
    </w:r>
    <w:r w:rsidRPr="00254992">
      <w:rPr>
        <w:rFonts w:eastAsia="굴림"/>
        <w:b/>
        <w:bCs/>
        <w:sz w:val="16"/>
        <w:szCs w:val="18"/>
      </w:rPr>
      <w:t>발표자</w:t>
    </w:r>
    <w:r>
      <w:rPr>
        <w:rFonts w:eastAsia="굴림" w:hint="eastAsia"/>
        <w:color w:val="000000" w:themeColor="text1"/>
        <w:sz w:val="16"/>
        <w:szCs w:val="18"/>
      </w:rPr>
      <w:t>(abc@cde.or.kr)</w:t>
    </w:r>
    <w:r w:rsidRPr="00A10C4D">
      <w:rPr>
        <w:rFonts w:eastAsia="굴림"/>
        <w:color w:val="000000" w:themeColor="text1"/>
        <w:sz w:val="16"/>
        <w:szCs w:val="18"/>
      </w:rPr>
      <w:t>,</w:t>
    </w:r>
    <w:r w:rsidRPr="00254992">
      <w:rPr>
        <w:rFonts w:eastAsia="굴림"/>
        <w:b/>
        <w:bCs/>
        <w:sz w:val="16"/>
        <w:szCs w:val="18"/>
      </w:rPr>
      <w:t xml:space="preserve"> </w:t>
    </w:r>
    <w:r w:rsidRPr="00254992">
      <w:rPr>
        <w:rFonts w:eastAsia="굴림"/>
        <w:b/>
        <w:bCs/>
        <w:sz w:val="16"/>
        <w:szCs w:val="18"/>
        <w:vertAlign w:val="superscript"/>
      </w:rPr>
      <w:t>#</w:t>
    </w:r>
    <w:r w:rsidRPr="00254992">
      <w:rPr>
        <w:rFonts w:eastAsia="굴림"/>
        <w:b/>
        <w:bCs/>
        <w:sz w:val="16"/>
        <w:szCs w:val="18"/>
      </w:rPr>
      <w:t>교신저자</w:t>
    </w:r>
    <w:r>
      <w:rPr>
        <w:color w:val="000000" w:themeColor="text1"/>
        <w:sz w:val="16"/>
        <w:szCs w:val="18"/>
      </w:rPr>
      <w:t>(</w:t>
    </w:r>
    <w:proofErr w:type="gramStart"/>
    <w:r>
      <w:rPr>
        <w:color w:val="000000" w:themeColor="text1"/>
        <w:sz w:val="16"/>
        <w:szCs w:val="18"/>
      </w:rPr>
      <w:t>abcd@cde.or</w:t>
    </w:r>
    <w:r w:rsidRPr="00A10C4D">
      <w:rPr>
        <w:color w:val="000000" w:themeColor="text1"/>
        <w:sz w:val="16"/>
        <w:szCs w:val="18"/>
      </w:rPr>
      <w:t>.kr )</w:t>
    </w:r>
    <w:proofErr w:type="gramEnd"/>
    <w:r>
      <w:rPr>
        <w:color w:val="000000" w:themeColor="text1"/>
        <w:sz w:val="16"/>
        <w:szCs w:val="18"/>
      </w:rPr>
      <w:t xml:space="preserve"> </w:t>
    </w:r>
    <w:r w:rsidRPr="003C3CE2">
      <w:rPr>
        <w:color w:val="FF0000"/>
        <w:sz w:val="18"/>
        <w:szCs w:val="18"/>
      </w:rPr>
      <w:t>[</w:t>
    </w:r>
    <w:r>
      <w:rPr>
        <w:rFonts w:hint="eastAsia"/>
        <w:color w:val="FF0000"/>
        <w:sz w:val="18"/>
        <w:szCs w:val="18"/>
      </w:rPr>
      <w:t>이메일</w:t>
    </w:r>
    <w:r>
      <w:rPr>
        <w:rFonts w:hint="eastAsia"/>
        <w:color w:val="FF0000"/>
        <w:sz w:val="18"/>
        <w:szCs w:val="18"/>
      </w:rPr>
      <w:t xml:space="preserve"> </w:t>
    </w:r>
    <w:r>
      <w:rPr>
        <w:rFonts w:hint="eastAsia"/>
        <w:color w:val="FF0000"/>
        <w:sz w:val="18"/>
        <w:szCs w:val="18"/>
      </w:rPr>
      <w:t>주소만</w:t>
    </w:r>
    <w:r>
      <w:rPr>
        <w:rFonts w:hint="eastAsia"/>
        <w:color w:val="FF0000"/>
        <w:sz w:val="18"/>
        <w:szCs w:val="18"/>
      </w:rPr>
      <w:t xml:space="preserve"> </w:t>
    </w:r>
    <w:r>
      <w:rPr>
        <w:rFonts w:hint="eastAsia"/>
        <w:color w:val="FF0000"/>
        <w:sz w:val="18"/>
        <w:szCs w:val="18"/>
      </w:rPr>
      <w:t>변경</w:t>
    </w:r>
    <w:r w:rsidRPr="003C3CE2">
      <w:rPr>
        <w:color w:val="FF0000"/>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941D" w14:textId="77777777" w:rsidR="003767A5" w:rsidRDefault="003767A5">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49C0" w14:textId="301E13F5" w:rsidR="004A7FC4" w:rsidRPr="00A10C4D" w:rsidRDefault="004A7FC4" w:rsidP="00E93485">
    <w:pPr>
      <w:pStyle w:val="ac"/>
      <w:ind w:firstLine="0"/>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0CD79" w14:textId="77777777" w:rsidR="000751E3" w:rsidRDefault="000751E3" w:rsidP="00D9626D">
      <w:r>
        <w:separator/>
      </w:r>
    </w:p>
  </w:footnote>
  <w:footnote w:type="continuationSeparator" w:id="0">
    <w:p w14:paraId="2CDBEA2F" w14:textId="77777777" w:rsidR="000751E3" w:rsidRDefault="000751E3" w:rsidP="00D96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947"/>
    </w:tblGrid>
    <w:tr w:rsidR="00F26F3C" w:rsidRPr="00B007FA" w14:paraId="0A4241ED" w14:textId="77777777" w:rsidTr="00F26F3C">
      <w:trPr>
        <w:trHeight w:val="284"/>
        <w:tblHeader w:val="true"/>
      </w:trPr>
      <w:tc>
        <w:tcPr>
          <w:tcW w:w="3681" w:type="dxa"/>
        </w:tcPr>
        <w:p w14:paraId="78EC0FBE" w14:textId="77777777" w:rsidR="00F26F3C" w:rsidRPr="007A2450" w:rsidRDefault="00F26F3C">
          <w:pPr>
            <w:pStyle w:val="ab"/>
            <w:ind w:firstLine="0"/>
            <w:rPr>
              <w:sz w:val="16"/>
              <w:szCs w:val="16"/>
            </w:rPr>
          </w:pPr>
        </w:p>
      </w:tc>
      <w:tc>
        <w:tcPr>
          <w:tcW w:w="5947" w:type="dxa"/>
        </w:tcPr>
        <w:p w14:paraId="1324EA6E" w14:textId="565D861A" w:rsidR="00F26F3C" w:rsidRPr="00E93485" w:rsidRDefault="00F26F3C" w:rsidP="007A2450">
          <w:pPr>
            <w:pStyle w:val="ab"/>
            <w:ind w:firstLine="0"/>
            <w:jc w:val="right"/>
            <w:rPr>
              <w:rFonts w:ascii="돋움체" w:eastAsia="돋움체" w:hAnsi="돋움체"/>
              <w:sz w:val="16"/>
              <w:szCs w:val="16"/>
            </w:rPr>
          </w:pPr>
          <w:r>
            <w:rPr>
              <w:rFonts w:hint="eastAsia"/>
              <w:sz w:val="16"/>
              <w:szCs w:val="16"/>
            </w:rPr>
            <w:t xml:space="preserve">Society for </w:t>
          </w:r>
          <w:r>
            <w:rPr>
              <w:sz w:val="16"/>
              <w:szCs w:val="16"/>
            </w:rPr>
            <w:t xml:space="preserve">Computational Design and Engineering </w:t>
          </w:r>
          <w:r w:rsidRPr="007A2450">
            <w:rPr>
              <w:rFonts w:hint="eastAsia"/>
              <w:sz w:val="16"/>
              <w:szCs w:val="16"/>
            </w:rPr>
            <w:t>20</w:t>
          </w:r>
          <w:r w:rsidR="00705775">
            <w:rPr>
              <w:sz w:val="16"/>
              <w:szCs w:val="16"/>
            </w:rPr>
            <w:t>2</w:t>
          </w:r>
          <w:r w:rsidR="00C42CA8">
            <w:rPr>
              <w:rFonts w:hint="eastAsia"/>
              <w:sz w:val="16"/>
              <w:szCs w:val="16"/>
            </w:rPr>
            <w:t>6</w:t>
          </w:r>
          <w:r w:rsidRPr="007A2450">
            <w:rPr>
              <w:rFonts w:hint="eastAsia"/>
              <w:sz w:val="16"/>
              <w:szCs w:val="16"/>
            </w:rPr>
            <w:t xml:space="preserve"> </w:t>
          </w:r>
          <w:r w:rsidR="000E0B19">
            <w:rPr>
              <w:rFonts w:hint="eastAsia"/>
              <w:sz w:val="16"/>
              <w:szCs w:val="16"/>
            </w:rPr>
            <w:t>Summer</w:t>
          </w:r>
          <w:r w:rsidR="00C42CA8">
            <w:rPr>
              <w:rFonts w:hint="eastAsia"/>
              <w:sz w:val="16"/>
              <w:szCs w:val="16"/>
            </w:rPr>
            <w:t xml:space="preserve"> </w:t>
          </w:r>
          <w:r w:rsidRPr="007C453D">
            <w:rPr>
              <w:rFonts w:hint="eastAsia"/>
              <w:color w:val="1F3864" w:themeColor="accent5" w:themeShade="80"/>
              <w:sz w:val="16"/>
              <w:szCs w:val="16"/>
            </w:rPr>
            <w:t>C</w:t>
          </w:r>
          <w:r w:rsidRPr="007A2450">
            <w:rPr>
              <w:rFonts w:hint="eastAsia"/>
              <w:sz w:val="16"/>
              <w:szCs w:val="16"/>
            </w:rPr>
            <w:t>onference</w:t>
          </w:r>
        </w:p>
      </w:tc>
    </w:tr>
  </w:tbl>
  <w:p w14:paraId="2AE7CAE9" w14:textId="77777777" w:rsidR="007A2450" w:rsidRPr="00B007FA" w:rsidRDefault="007A2450" w:rsidP="00231361">
    <w:pPr>
      <w:pStyle w:val="ab"/>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D6DF" w14:textId="77777777" w:rsidR="000536EA" w:rsidRDefault="000536EA" w:rsidP="000536EA">
    <w:pPr>
      <w:pStyle w:val="ab"/>
    </w:pPr>
  </w:p>
  <w:p w14:paraId="78A0C6EF" w14:textId="77777777" w:rsidR="000536EA" w:rsidRPr="000536EA" w:rsidRDefault="000536EA" w:rsidP="000536EA">
    <w:pPr>
      <w:pStyle w:val="ab"/>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F25B2"/>
    <w:multiLevelType w:val="multilevel"/>
    <w:tmpl w:val="1ADCCCF4"/>
    <w:lvl w:ilvl="0">
      <w:start w:val="1"/>
      <w:numFmt w:val="decimal"/>
      <w:pStyle w:val="a"/>
      <w:lvlText w:val="%1."/>
      <w:lvlJc w:val="left"/>
      <w:pPr>
        <w:tabs>
          <w:tab w:val="num" w:pos="5103"/>
        </w:tabs>
        <w:ind w:left="5103" w:hanging="425"/>
      </w:pPr>
      <w:rPr>
        <w:rFonts w:ascii="Times New Roman" w:hAnsi="Times New Roman" w:cs="Times New Roman" w:hint="default"/>
      </w:rPr>
    </w:lvl>
    <w:lvl w:ilvl="1">
      <w:start w:val="1"/>
      <w:numFmt w:val="decimal"/>
      <w:pStyle w:val="a0"/>
      <w:lvlText w:val="%1.%2"/>
      <w:lvlJc w:val="left"/>
      <w:pPr>
        <w:tabs>
          <w:tab w:val="num" w:pos="5245"/>
        </w:tabs>
        <w:ind w:left="5245" w:hanging="567"/>
      </w:pPr>
      <w:rPr>
        <w:rFonts w:ascii="Times New Roman" w:hAnsi="Times New Roman" w:cs="Times New Roman" w:hint="default"/>
      </w:rPr>
    </w:lvl>
    <w:lvl w:ilvl="2">
      <w:start w:val="1"/>
      <w:numFmt w:val="decimal"/>
      <w:pStyle w:val="a1"/>
      <w:lvlText w:val="%1.%2.%3"/>
      <w:lvlJc w:val="left"/>
      <w:pPr>
        <w:tabs>
          <w:tab w:val="num" w:pos="5398"/>
        </w:tabs>
        <w:ind w:left="5018" w:hanging="340"/>
      </w:pPr>
      <w:rPr>
        <w:rFonts w:ascii="Times New Roman" w:hAnsi="Times New Roman" w:cs="Times New Roman" w:hint="default"/>
      </w:rPr>
    </w:lvl>
    <w:lvl w:ilvl="3">
      <w:start w:val="1"/>
      <w:numFmt w:val="decimal"/>
      <w:lvlText w:val="%1.%2.%3.%4."/>
      <w:lvlJc w:val="left"/>
      <w:pPr>
        <w:tabs>
          <w:tab w:val="num" w:pos="5529"/>
        </w:tabs>
        <w:ind w:left="5529" w:hanging="851"/>
      </w:pPr>
    </w:lvl>
    <w:lvl w:ilvl="4">
      <w:start w:val="1"/>
      <w:numFmt w:val="decimal"/>
      <w:lvlText w:val="%1.%2.%3.%4.%5."/>
      <w:lvlJc w:val="left"/>
      <w:pPr>
        <w:tabs>
          <w:tab w:val="num" w:pos="5670"/>
        </w:tabs>
        <w:ind w:left="5670" w:hanging="992"/>
      </w:pPr>
    </w:lvl>
    <w:lvl w:ilvl="5">
      <w:start w:val="1"/>
      <w:numFmt w:val="decimal"/>
      <w:lvlText w:val="%1.%2.%3.%4.%5.%6."/>
      <w:lvlJc w:val="left"/>
      <w:pPr>
        <w:tabs>
          <w:tab w:val="num" w:pos="5812"/>
        </w:tabs>
        <w:ind w:left="5812" w:hanging="1134"/>
      </w:pPr>
    </w:lvl>
    <w:lvl w:ilvl="6">
      <w:start w:val="1"/>
      <w:numFmt w:val="decimal"/>
      <w:lvlText w:val="%1.%2.%3.%4.%5.%6.%7."/>
      <w:lvlJc w:val="left"/>
      <w:pPr>
        <w:tabs>
          <w:tab w:val="num" w:pos="5954"/>
        </w:tabs>
        <w:ind w:left="5954" w:hanging="1276"/>
      </w:pPr>
    </w:lvl>
    <w:lvl w:ilvl="7">
      <w:start w:val="1"/>
      <w:numFmt w:val="decimal"/>
      <w:lvlText w:val="%1.%2.%3.%4.%5.%6.%7.%8."/>
      <w:lvlJc w:val="left"/>
      <w:pPr>
        <w:tabs>
          <w:tab w:val="num" w:pos="6096"/>
        </w:tabs>
        <w:ind w:left="6096" w:hanging="1418"/>
      </w:pPr>
    </w:lvl>
    <w:lvl w:ilvl="8">
      <w:start w:val="1"/>
      <w:numFmt w:val="decimal"/>
      <w:lvlText w:val="%1.%2.%3.%4.%5.%6.%7.%8.%9."/>
      <w:lvlJc w:val="left"/>
      <w:pPr>
        <w:tabs>
          <w:tab w:val="num" w:pos="6237"/>
        </w:tabs>
        <w:ind w:left="6237" w:hanging="1559"/>
      </w:pPr>
    </w:lvl>
  </w:abstractNum>
  <w:abstractNum w:abstractNumId="1" w15:restartNumberingAfterBreak="0">
    <w:nsid w:val="6C7D395D"/>
    <w:multiLevelType w:val="singleLevel"/>
    <w:tmpl w:val="49B06864"/>
    <w:lvl w:ilvl="0">
      <w:start w:val="1"/>
      <w:numFmt w:val="decimal"/>
      <w:pStyle w:val="a2"/>
      <w:lvlText w:val="%1."/>
      <w:lvlJc w:val="left"/>
      <w:pPr>
        <w:tabs>
          <w:tab w:val="num" w:pos="425"/>
        </w:tabs>
        <w:ind w:left="425" w:hanging="425"/>
      </w:pPr>
    </w:lvl>
  </w:abstractNum>
  <w:num w:numId="1" w16cid:durableId="2076277834">
    <w:abstractNumId w:val="1"/>
  </w:num>
  <w:num w:numId="2" w16cid:durableId="1031342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01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26D"/>
    <w:rsid w:val="00012E58"/>
    <w:rsid w:val="000310D6"/>
    <w:rsid w:val="00034EAF"/>
    <w:rsid w:val="00051FCF"/>
    <w:rsid w:val="000536EA"/>
    <w:rsid w:val="000751E3"/>
    <w:rsid w:val="0009145A"/>
    <w:rsid w:val="000B6DD6"/>
    <w:rsid w:val="000E0B19"/>
    <w:rsid w:val="000F0CC3"/>
    <w:rsid w:val="000F49FD"/>
    <w:rsid w:val="000F4D63"/>
    <w:rsid w:val="00102FAE"/>
    <w:rsid w:val="0012157B"/>
    <w:rsid w:val="00131151"/>
    <w:rsid w:val="00183D2A"/>
    <w:rsid w:val="00194862"/>
    <w:rsid w:val="001A1CBD"/>
    <w:rsid w:val="001A5DFA"/>
    <w:rsid w:val="001E4016"/>
    <w:rsid w:val="001E4CE2"/>
    <w:rsid w:val="0020311B"/>
    <w:rsid w:val="00205973"/>
    <w:rsid w:val="00231361"/>
    <w:rsid w:val="0025310C"/>
    <w:rsid w:val="00254992"/>
    <w:rsid w:val="002B388B"/>
    <w:rsid w:val="002C37DD"/>
    <w:rsid w:val="002F0D8E"/>
    <w:rsid w:val="003070DD"/>
    <w:rsid w:val="00322780"/>
    <w:rsid w:val="0033167A"/>
    <w:rsid w:val="00332D38"/>
    <w:rsid w:val="00343984"/>
    <w:rsid w:val="00374395"/>
    <w:rsid w:val="003767A5"/>
    <w:rsid w:val="003914BD"/>
    <w:rsid w:val="003C1F03"/>
    <w:rsid w:val="003C3CE2"/>
    <w:rsid w:val="003D6392"/>
    <w:rsid w:val="003E0F4F"/>
    <w:rsid w:val="00412E04"/>
    <w:rsid w:val="00420D02"/>
    <w:rsid w:val="0042776C"/>
    <w:rsid w:val="004636D8"/>
    <w:rsid w:val="004A7FC4"/>
    <w:rsid w:val="004E377E"/>
    <w:rsid w:val="004E7830"/>
    <w:rsid w:val="00510198"/>
    <w:rsid w:val="00570BDC"/>
    <w:rsid w:val="005863DD"/>
    <w:rsid w:val="0059584E"/>
    <w:rsid w:val="005E7F65"/>
    <w:rsid w:val="00604B10"/>
    <w:rsid w:val="00623E7D"/>
    <w:rsid w:val="00626CAB"/>
    <w:rsid w:val="006823A9"/>
    <w:rsid w:val="00682A90"/>
    <w:rsid w:val="006948C2"/>
    <w:rsid w:val="006C4504"/>
    <w:rsid w:val="006E746F"/>
    <w:rsid w:val="0070173C"/>
    <w:rsid w:val="00705775"/>
    <w:rsid w:val="00722ED2"/>
    <w:rsid w:val="00753FB8"/>
    <w:rsid w:val="007719AD"/>
    <w:rsid w:val="007A2450"/>
    <w:rsid w:val="007B43F2"/>
    <w:rsid w:val="007B616C"/>
    <w:rsid w:val="007C0A0D"/>
    <w:rsid w:val="007C247A"/>
    <w:rsid w:val="007C453D"/>
    <w:rsid w:val="007D158F"/>
    <w:rsid w:val="007D2525"/>
    <w:rsid w:val="007E730E"/>
    <w:rsid w:val="00800098"/>
    <w:rsid w:val="008041DC"/>
    <w:rsid w:val="00844561"/>
    <w:rsid w:val="00854E71"/>
    <w:rsid w:val="00884DB8"/>
    <w:rsid w:val="00886B52"/>
    <w:rsid w:val="008C45E4"/>
    <w:rsid w:val="00927168"/>
    <w:rsid w:val="009301E3"/>
    <w:rsid w:val="00930327"/>
    <w:rsid w:val="0096055D"/>
    <w:rsid w:val="00964DEE"/>
    <w:rsid w:val="0097280B"/>
    <w:rsid w:val="009C40A9"/>
    <w:rsid w:val="00A028F5"/>
    <w:rsid w:val="00A10C4D"/>
    <w:rsid w:val="00A22A13"/>
    <w:rsid w:val="00A330EA"/>
    <w:rsid w:val="00A50DA5"/>
    <w:rsid w:val="00AB6B22"/>
    <w:rsid w:val="00B007FA"/>
    <w:rsid w:val="00B0271E"/>
    <w:rsid w:val="00B0459A"/>
    <w:rsid w:val="00B126BD"/>
    <w:rsid w:val="00B20364"/>
    <w:rsid w:val="00B25859"/>
    <w:rsid w:val="00B939C9"/>
    <w:rsid w:val="00B967ED"/>
    <w:rsid w:val="00BA4F89"/>
    <w:rsid w:val="00BB3753"/>
    <w:rsid w:val="00BC175E"/>
    <w:rsid w:val="00BC263D"/>
    <w:rsid w:val="00BC268C"/>
    <w:rsid w:val="00BD642C"/>
    <w:rsid w:val="00C15FC2"/>
    <w:rsid w:val="00C342C5"/>
    <w:rsid w:val="00C353AC"/>
    <w:rsid w:val="00C35470"/>
    <w:rsid w:val="00C3643D"/>
    <w:rsid w:val="00C42CA8"/>
    <w:rsid w:val="00C602A4"/>
    <w:rsid w:val="00C73A3F"/>
    <w:rsid w:val="00C8373B"/>
    <w:rsid w:val="00CD3556"/>
    <w:rsid w:val="00D11A7D"/>
    <w:rsid w:val="00D22172"/>
    <w:rsid w:val="00D35D4E"/>
    <w:rsid w:val="00D52C0F"/>
    <w:rsid w:val="00D67FC0"/>
    <w:rsid w:val="00D93255"/>
    <w:rsid w:val="00D9626D"/>
    <w:rsid w:val="00DB74B1"/>
    <w:rsid w:val="00DE1685"/>
    <w:rsid w:val="00E114E4"/>
    <w:rsid w:val="00E22A3B"/>
    <w:rsid w:val="00E26FFB"/>
    <w:rsid w:val="00E3062C"/>
    <w:rsid w:val="00E93485"/>
    <w:rsid w:val="00EA0D53"/>
    <w:rsid w:val="00EB7E7B"/>
    <w:rsid w:val="00ED5BEE"/>
    <w:rsid w:val="00EF0EFB"/>
    <w:rsid w:val="00F127BF"/>
    <w:rsid w:val="00F23B77"/>
    <w:rsid w:val="00F26F3C"/>
    <w:rsid w:val="00FC0AC7"/>
    <w:rsid w:val="00FE5C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866AD"/>
  <w15:chartTrackingRefBased/>
  <w15:docId w15:val="{8D668A29-3A63-47AA-A745-DDEE5BA9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0536EA"/>
    <w:pPr>
      <w:widowControl w:val="0"/>
      <w:wordWrap w:val="0"/>
      <w:spacing w:after="0" w:line="240" w:lineRule="auto"/>
      <w:ind w:firstLine="284"/>
    </w:pPr>
    <w:rPr>
      <w:rFonts w:ascii="Times New Roman" w:eastAsia="바탕체" w:hAnsi="Times New Roman" w:cs="Times New Roman"/>
      <w:szCs w:val="20"/>
    </w:rPr>
  </w:style>
  <w:style w:type="paragraph" w:styleId="1">
    <w:name w:val="heading 1"/>
    <w:basedOn w:val="a3"/>
    <w:next w:val="a3"/>
    <w:link w:val="1Char"/>
    <w:uiPriority w:val="9"/>
    <w:qFormat/>
    <w:rsid w:val="00B939C9"/>
    <w:pPr>
      <w:keepNext/>
      <w:outlineLvl w:val="0"/>
    </w:pPr>
    <w:rPr>
      <w:rFonts w:asciiTheme="majorHAnsi" w:eastAsiaTheme="majorEastAsia" w:hAnsiTheme="majorHAnsi" w:cstheme="majorBidi"/>
      <w:sz w:val="28"/>
      <w:szCs w:val="28"/>
    </w:rPr>
  </w:style>
  <w:style w:type="paragraph" w:styleId="3">
    <w:name w:val="heading 3"/>
    <w:basedOn w:val="a3"/>
    <w:next w:val="a3"/>
    <w:link w:val="3Char"/>
    <w:uiPriority w:val="9"/>
    <w:semiHidden/>
    <w:unhideWhenUsed/>
    <w:qFormat/>
    <w:rsid w:val="00B939C9"/>
    <w:pPr>
      <w:keepNext/>
      <w:ind w:leftChars="300" w:left="300" w:hangingChars="200" w:hanging="2000"/>
      <w:outlineLvl w:val="2"/>
    </w:pPr>
    <w:rPr>
      <w:rFonts w:asciiTheme="majorHAnsi" w:eastAsiaTheme="majorEastAsia" w:hAnsiTheme="majorHAnsi" w:cstheme="majorBidi"/>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저자 이름"/>
    <w:basedOn w:val="a3"/>
    <w:next w:val="a3"/>
    <w:rsid w:val="00D9626D"/>
    <w:pPr>
      <w:spacing w:line="320" w:lineRule="exact"/>
      <w:ind w:firstLine="0"/>
      <w:jc w:val="center"/>
    </w:pPr>
    <w:rPr>
      <w:rFonts w:eastAsia="돋움체"/>
      <w:b/>
    </w:rPr>
  </w:style>
  <w:style w:type="paragraph" w:customStyle="1" w:styleId="a8">
    <w:name w:val="영어 논문 제목"/>
    <w:basedOn w:val="a9"/>
    <w:next w:val="a3"/>
    <w:rsid w:val="00D9626D"/>
    <w:rPr>
      <w:b w:val="0"/>
      <w:sz w:val="28"/>
    </w:rPr>
  </w:style>
  <w:style w:type="paragraph" w:customStyle="1" w:styleId="a9">
    <w:name w:val="논문 제목"/>
    <w:basedOn w:val="a3"/>
    <w:next w:val="a3"/>
    <w:rsid w:val="00D9626D"/>
    <w:pPr>
      <w:spacing w:line="320" w:lineRule="exact"/>
      <w:ind w:firstLine="0"/>
      <w:jc w:val="center"/>
    </w:pPr>
    <w:rPr>
      <w:rFonts w:eastAsia="돋움체"/>
      <w:b/>
      <w:sz w:val="32"/>
    </w:rPr>
  </w:style>
  <w:style w:type="paragraph" w:customStyle="1" w:styleId="aa">
    <w:name w:val="영어 저자 이름"/>
    <w:basedOn w:val="a7"/>
    <w:next w:val="a3"/>
    <w:rsid w:val="00D9626D"/>
    <w:rPr>
      <w:b w:val="0"/>
    </w:rPr>
  </w:style>
  <w:style w:type="paragraph" w:styleId="ab">
    <w:name w:val="header"/>
    <w:basedOn w:val="a3"/>
    <w:link w:val="Char"/>
    <w:uiPriority w:val="99"/>
    <w:unhideWhenUsed/>
    <w:rsid w:val="00D9626D"/>
    <w:pPr>
      <w:tabs>
        <w:tab w:val="center" w:pos="4513"/>
        <w:tab w:val="right" w:pos="9026"/>
      </w:tabs>
      <w:snapToGrid w:val="0"/>
    </w:pPr>
  </w:style>
  <w:style w:type="character" w:customStyle="1" w:styleId="Char">
    <w:name w:val="머리글 Char"/>
    <w:basedOn w:val="a4"/>
    <w:link w:val="ab"/>
    <w:uiPriority w:val="99"/>
    <w:rsid w:val="00D9626D"/>
    <w:rPr>
      <w:rFonts w:ascii="Times New Roman" w:eastAsia="바탕체" w:hAnsi="Times New Roman" w:cs="Times New Roman"/>
      <w:szCs w:val="20"/>
    </w:rPr>
  </w:style>
  <w:style w:type="paragraph" w:styleId="ac">
    <w:name w:val="footer"/>
    <w:basedOn w:val="a3"/>
    <w:link w:val="Char0"/>
    <w:uiPriority w:val="99"/>
    <w:unhideWhenUsed/>
    <w:rsid w:val="00D9626D"/>
    <w:pPr>
      <w:tabs>
        <w:tab w:val="center" w:pos="4513"/>
        <w:tab w:val="right" w:pos="9026"/>
      </w:tabs>
      <w:snapToGrid w:val="0"/>
    </w:pPr>
  </w:style>
  <w:style w:type="character" w:customStyle="1" w:styleId="Char0">
    <w:name w:val="바닥글 Char"/>
    <w:basedOn w:val="a4"/>
    <w:link w:val="ac"/>
    <w:uiPriority w:val="99"/>
    <w:rsid w:val="00D9626D"/>
    <w:rPr>
      <w:rFonts w:ascii="Times New Roman" w:eastAsia="바탕체" w:hAnsi="Times New Roman" w:cs="Times New Roman"/>
      <w:szCs w:val="20"/>
    </w:rPr>
  </w:style>
  <w:style w:type="paragraph" w:styleId="ad">
    <w:name w:val="Balloon Text"/>
    <w:basedOn w:val="a3"/>
    <w:link w:val="Char1"/>
    <w:uiPriority w:val="99"/>
    <w:semiHidden/>
    <w:unhideWhenUsed/>
    <w:rsid w:val="00D9626D"/>
    <w:rPr>
      <w:rFonts w:asciiTheme="majorHAnsi" w:eastAsiaTheme="majorEastAsia" w:hAnsiTheme="majorHAnsi" w:cstheme="majorBidi"/>
      <w:sz w:val="18"/>
      <w:szCs w:val="18"/>
    </w:rPr>
  </w:style>
  <w:style w:type="character" w:customStyle="1" w:styleId="Char1">
    <w:name w:val="풍선 도움말 텍스트 Char"/>
    <w:basedOn w:val="a4"/>
    <w:link w:val="ad"/>
    <w:uiPriority w:val="99"/>
    <w:semiHidden/>
    <w:rsid w:val="00D9626D"/>
    <w:rPr>
      <w:rFonts w:asciiTheme="majorHAnsi" w:eastAsiaTheme="majorEastAsia" w:hAnsiTheme="majorHAnsi" w:cstheme="majorBidi"/>
      <w:sz w:val="18"/>
      <w:szCs w:val="18"/>
    </w:rPr>
  </w:style>
  <w:style w:type="character" w:styleId="ae">
    <w:name w:val="Hyperlink"/>
    <w:basedOn w:val="a4"/>
    <w:uiPriority w:val="99"/>
    <w:unhideWhenUsed/>
    <w:rsid w:val="005E7F65"/>
    <w:rPr>
      <w:color w:val="0563C1" w:themeColor="hyperlink"/>
      <w:u w:val="single"/>
    </w:rPr>
  </w:style>
  <w:style w:type="paragraph" w:customStyle="1" w:styleId="af">
    <w:name w:val="후기(제목)"/>
    <w:basedOn w:val="a3"/>
    <w:next w:val="a3"/>
    <w:rsid w:val="00C73A3F"/>
    <w:pPr>
      <w:spacing w:line="260" w:lineRule="exact"/>
      <w:ind w:firstLine="0"/>
      <w:jc w:val="center"/>
    </w:pPr>
    <w:rPr>
      <w:rFonts w:eastAsia="돋움체"/>
      <w:b/>
    </w:rPr>
  </w:style>
  <w:style w:type="paragraph" w:customStyle="1" w:styleId="af0">
    <w:name w:val="참고문헌(제목)"/>
    <w:basedOn w:val="a3"/>
    <w:next w:val="a2"/>
    <w:rsid w:val="00C73A3F"/>
    <w:pPr>
      <w:spacing w:line="260" w:lineRule="exact"/>
      <w:ind w:firstLine="0"/>
      <w:jc w:val="center"/>
    </w:pPr>
    <w:rPr>
      <w:rFonts w:eastAsia="돋움체"/>
      <w:b/>
    </w:rPr>
  </w:style>
  <w:style w:type="paragraph" w:customStyle="1" w:styleId="a2">
    <w:name w:val="참고문헌(내용)"/>
    <w:basedOn w:val="a3"/>
    <w:rsid w:val="00C73A3F"/>
    <w:pPr>
      <w:numPr>
        <w:numId w:val="1"/>
      </w:numPr>
      <w:tabs>
        <w:tab w:val="clear" w:pos="425"/>
        <w:tab w:val="num" w:pos="284"/>
      </w:tabs>
      <w:spacing w:line="260" w:lineRule="exact"/>
      <w:ind w:left="284" w:hanging="284"/>
    </w:pPr>
    <w:rPr>
      <w:sz w:val="18"/>
    </w:rPr>
  </w:style>
  <w:style w:type="paragraph" w:customStyle="1" w:styleId="af1">
    <w:name w:val="각 장 제목"/>
    <w:basedOn w:val="a3"/>
    <w:rsid w:val="00C73A3F"/>
    <w:pPr>
      <w:spacing w:line="260" w:lineRule="exact"/>
      <w:ind w:firstLine="0"/>
      <w:jc w:val="center"/>
    </w:pPr>
    <w:rPr>
      <w:rFonts w:eastAsia="돋움체"/>
      <w:b/>
    </w:rPr>
  </w:style>
  <w:style w:type="paragraph" w:customStyle="1" w:styleId="af2">
    <w:name w:val="논문 본문"/>
    <w:basedOn w:val="a3"/>
    <w:link w:val="Char10"/>
    <w:rsid w:val="00C73A3F"/>
    <w:pPr>
      <w:spacing w:line="260" w:lineRule="exact"/>
    </w:pPr>
    <w:rPr>
      <w:sz w:val="18"/>
      <w:lang w:val="x-none" w:eastAsia="x-none"/>
    </w:rPr>
  </w:style>
  <w:style w:type="paragraph" w:customStyle="1" w:styleId="af3">
    <w:name w:val="그림/표 설명"/>
    <w:basedOn w:val="a3"/>
    <w:rsid w:val="00C73A3F"/>
    <w:pPr>
      <w:spacing w:line="260" w:lineRule="exact"/>
      <w:ind w:left="284" w:hanging="284"/>
    </w:pPr>
    <w:rPr>
      <w:sz w:val="18"/>
    </w:rPr>
  </w:style>
  <w:style w:type="character" w:customStyle="1" w:styleId="bold">
    <w:name w:val="bold"/>
    <w:rsid w:val="00C73A3F"/>
    <w:rPr>
      <w:b/>
    </w:rPr>
  </w:style>
  <w:style w:type="paragraph" w:customStyle="1" w:styleId="tabletext">
    <w:name w:val="table_text"/>
    <w:basedOn w:val="a3"/>
    <w:rsid w:val="00C73A3F"/>
    <w:pPr>
      <w:widowControl/>
      <w:tabs>
        <w:tab w:val="left" w:pos="340"/>
        <w:tab w:val="left" w:pos="680"/>
      </w:tabs>
      <w:wordWrap/>
      <w:ind w:firstLine="0"/>
      <w:jc w:val="left"/>
    </w:pPr>
    <w:rPr>
      <w:rFonts w:eastAsia="바탕"/>
      <w:snapToGrid w:val="0"/>
      <w:kern w:val="0"/>
      <w:sz w:val="16"/>
      <w:lang w:eastAsia="en-US"/>
    </w:rPr>
  </w:style>
  <w:style w:type="character" w:customStyle="1" w:styleId="Char10">
    <w:name w:val="논문 본문 Char1"/>
    <w:link w:val="af2"/>
    <w:rsid w:val="00C73A3F"/>
    <w:rPr>
      <w:rFonts w:ascii="Times New Roman" w:eastAsia="바탕체" w:hAnsi="Times New Roman" w:cs="Times New Roman"/>
      <w:sz w:val="18"/>
      <w:szCs w:val="20"/>
      <w:lang w:val="x-none" w:eastAsia="x-none"/>
    </w:rPr>
  </w:style>
  <w:style w:type="table" w:styleId="af4">
    <w:name w:val="Table Grid"/>
    <w:basedOn w:val="a5"/>
    <w:uiPriority w:val="39"/>
    <w:rsid w:val="00A50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머리글(영문)"/>
    <w:basedOn w:val="a3"/>
    <w:rsid w:val="00A10C4D"/>
    <w:pPr>
      <w:tabs>
        <w:tab w:val="center" w:pos="4252"/>
        <w:tab w:val="right" w:pos="8504"/>
      </w:tabs>
      <w:snapToGrid w:val="0"/>
      <w:jc w:val="center"/>
    </w:pPr>
    <w:rPr>
      <w:sz w:val="16"/>
    </w:rPr>
  </w:style>
  <w:style w:type="paragraph" w:customStyle="1" w:styleId="a0">
    <w:name w:val="본문 단락:논문용"/>
    <w:basedOn w:val="af6"/>
    <w:rsid w:val="00B939C9"/>
    <w:pPr>
      <w:numPr>
        <w:ilvl w:val="1"/>
        <w:numId w:val="2"/>
      </w:numPr>
      <w:tabs>
        <w:tab w:val="num" w:pos="360"/>
        <w:tab w:val="num" w:pos="425"/>
      </w:tabs>
      <w:snapToGrid w:val="0"/>
      <w:spacing w:after="0" w:line="264" w:lineRule="auto"/>
      <w:ind w:left="0" w:firstLineChars="0" w:firstLine="210"/>
    </w:pPr>
  </w:style>
  <w:style w:type="paragraph" w:customStyle="1" w:styleId="a">
    <w:name w:val="논문의 각 장"/>
    <w:basedOn w:val="1"/>
    <w:next w:val="a0"/>
    <w:rsid w:val="00B939C9"/>
    <w:pPr>
      <w:numPr>
        <w:numId w:val="2"/>
      </w:numPr>
      <w:tabs>
        <w:tab w:val="num" w:pos="360"/>
      </w:tabs>
      <w:spacing w:before="240" w:after="120" w:line="360" w:lineRule="auto"/>
      <w:ind w:left="0" w:firstLine="284"/>
      <w:jc w:val="center"/>
    </w:pPr>
    <w:rPr>
      <w:rFonts w:ascii="Arial" w:eastAsia="돋움체" w:hAnsi="Arial" w:cs="Times New Roman"/>
      <w:sz w:val="24"/>
      <w:szCs w:val="20"/>
    </w:rPr>
  </w:style>
  <w:style w:type="paragraph" w:customStyle="1" w:styleId="a1">
    <w:name w:val="논문의 각 항"/>
    <w:basedOn w:val="3"/>
    <w:next w:val="a0"/>
    <w:rsid w:val="00B939C9"/>
    <w:pPr>
      <w:numPr>
        <w:ilvl w:val="2"/>
        <w:numId w:val="2"/>
      </w:numPr>
      <w:tabs>
        <w:tab w:val="num" w:pos="360"/>
        <w:tab w:val="num" w:pos="425"/>
      </w:tabs>
      <w:spacing w:before="120"/>
      <w:ind w:leftChars="0" w:left="300" w:firstLineChars="0" w:hanging="2000"/>
      <w:jc w:val="left"/>
    </w:pPr>
    <w:rPr>
      <w:rFonts w:ascii="Arial" w:eastAsia="돋움체" w:hAnsi="Arial" w:cs="Times New Roman"/>
    </w:rPr>
  </w:style>
  <w:style w:type="paragraph" w:styleId="af7">
    <w:name w:val="Body Text"/>
    <w:basedOn w:val="a3"/>
    <w:link w:val="Char2"/>
    <w:uiPriority w:val="99"/>
    <w:semiHidden/>
    <w:unhideWhenUsed/>
    <w:rsid w:val="00B939C9"/>
    <w:pPr>
      <w:spacing w:after="180"/>
    </w:pPr>
  </w:style>
  <w:style w:type="character" w:customStyle="1" w:styleId="Char2">
    <w:name w:val="본문 Char"/>
    <w:basedOn w:val="a4"/>
    <w:link w:val="af7"/>
    <w:uiPriority w:val="99"/>
    <w:semiHidden/>
    <w:rsid w:val="00B939C9"/>
    <w:rPr>
      <w:rFonts w:ascii="Times New Roman" w:eastAsia="바탕체" w:hAnsi="Times New Roman" w:cs="Times New Roman"/>
      <w:szCs w:val="20"/>
    </w:rPr>
  </w:style>
  <w:style w:type="paragraph" w:styleId="af6">
    <w:name w:val="Body Text First Indent"/>
    <w:basedOn w:val="af7"/>
    <w:link w:val="Char3"/>
    <w:uiPriority w:val="99"/>
    <w:semiHidden/>
    <w:unhideWhenUsed/>
    <w:rsid w:val="00B939C9"/>
    <w:pPr>
      <w:ind w:firstLineChars="100" w:firstLine="210"/>
    </w:pPr>
  </w:style>
  <w:style w:type="character" w:customStyle="1" w:styleId="Char3">
    <w:name w:val="본문 첫 줄 들여쓰기 Char"/>
    <w:basedOn w:val="Char2"/>
    <w:link w:val="af6"/>
    <w:uiPriority w:val="99"/>
    <w:semiHidden/>
    <w:rsid w:val="00B939C9"/>
    <w:rPr>
      <w:rFonts w:ascii="Times New Roman" w:eastAsia="바탕체" w:hAnsi="Times New Roman" w:cs="Times New Roman"/>
      <w:szCs w:val="20"/>
    </w:rPr>
  </w:style>
  <w:style w:type="character" w:customStyle="1" w:styleId="1Char">
    <w:name w:val="제목 1 Char"/>
    <w:basedOn w:val="a4"/>
    <w:link w:val="1"/>
    <w:uiPriority w:val="9"/>
    <w:rsid w:val="00B939C9"/>
    <w:rPr>
      <w:rFonts w:asciiTheme="majorHAnsi" w:eastAsiaTheme="majorEastAsia" w:hAnsiTheme="majorHAnsi" w:cstheme="majorBidi"/>
      <w:sz w:val="28"/>
      <w:szCs w:val="28"/>
    </w:rPr>
  </w:style>
  <w:style w:type="character" w:customStyle="1" w:styleId="3Char">
    <w:name w:val="제목 3 Char"/>
    <w:basedOn w:val="a4"/>
    <w:link w:val="3"/>
    <w:uiPriority w:val="9"/>
    <w:semiHidden/>
    <w:rsid w:val="00B939C9"/>
    <w:rPr>
      <w:rFonts w:asciiTheme="majorHAnsi" w:eastAsiaTheme="majorEastAsia" w:hAnsiTheme="majorHAnsi" w:cstheme="majorBidi"/>
      <w:szCs w:val="20"/>
    </w:rPr>
  </w:style>
  <w:style w:type="paragraph" w:customStyle="1" w:styleId="MS">
    <w:name w:val="MS바탕글"/>
    <w:basedOn w:val="a3"/>
    <w:rsid w:val="00B20364"/>
    <w:pPr>
      <w:autoSpaceDE w:val="0"/>
      <w:autoSpaceDN w:val="0"/>
      <w:spacing w:line="384" w:lineRule="auto"/>
      <w:ind w:firstLine="142"/>
      <w:textAlignment w:val="baseline"/>
    </w:pPr>
    <w:rPr>
      <w:rFonts w:ascii="굴림" w:eastAsia="굴림" w:hAnsi="굴림" w:cs="굴림"/>
      <w:color w:val="000000"/>
      <w:kern w:val="0"/>
    </w:rPr>
  </w:style>
  <w:style w:type="paragraph" w:customStyle="1" w:styleId="af8">
    <w:name w:val="기호설명"/>
    <w:basedOn w:val="a3"/>
    <w:next w:val="a3"/>
    <w:rsid w:val="00BC263D"/>
    <w:pPr>
      <w:spacing w:before="240"/>
      <w:jc w:val="center"/>
    </w:pPr>
    <w:rPr>
      <w:rFonts w:eastAsia="돋움체"/>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300842">
      <w:bodyDiv w:val="1"/>
      <w:marLeft w:val="0"/>
      <w:marRight w:val="0"/>
      <w:marTop w:val="0"/>
      <w:marBottom w:val="0"/>
      <w:divBdr>
        <w:top w:val="none" w:sz="0" w:space="0" w:color="auto"/>
        <w:left w:val="none" w:sz="0" w:space="0" w:color="auto"/>
        <w:bottom w:val="none" w:sz="0" w:space="0" w:color="auto"/>
        <w:right w:val="none" w:sz="0" w:space="0" w:color="auto"/>
      </w:divBdr>
    </w:div>
    <w:div w:id="817066690">
      <w:bodyDiv w:val="1"/>
      <w:marLeft w:val="0"/>
      <w:marRight w:val="0"/>
      <w:marTop w:val="0"/>
      <w:marBottom w:val="0"/>
      <w:divBdr>
        <w:top w:val="none" w:sz="0" w:space="0" w:color="auto"/>
        <w:left w:val="none" w:sz="0" w:space="0" w:color="auto"/>
        <w:bottom w:val="none" w:sz="0" w:space="0" w:color="auto"/>
        <w:right w:val="none" w:sz="0" w:space="0" w:color="auto"/>
      </w:divBdr>
    </w:div>
    <w:div w:id="933509738">
      <w:bodyDiv w:val="1"/>
      <w:marLeft w:val="0"/>
      <w:marRight w:val="0"/>
      <w:marTop w:val="0"/>
      <w:marBottom w:val="0"/>
      <w:divBdr>
        <w:top w:val="none" w:sz="0" w:space="0" w:color="auto"/>
        <w:left w:val="none" w:sz="0" w:space="0" w:color="auto"/>
        <w:bottom w:val="none" w:sz="0" w:space="0" w:color="auto"/>
        <w:right w:val="none" w:sz="0" w:space="0" w:color="auto"/>
      </w:divBdr>
    </w:div>
    <w:div w:id="154575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xxxx.xx.x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18" Type="http://schemas.openxmlformats.org/officeDocument/2006/relationships/header" Target="header3.xml"/><Relationship Id="rId19" Type="http://schemas.openxmlformats.org/officeDocument/2006/relationships/footer" Target="footer5.xml"/><Relationship Id="rId20"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10A41-3427-4318-BC58-8174AE4D2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912</Words>
  <Characters>5203</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정미현</dc:creator>
  <cp:keywords/>
  <dc:description/>
  <cp:lastModifiedBy>KCDE</cp:lastModifiedBy>
  <cp:revision>35</cp:revision>
  <cp:lastPrinted>2017-03-17T07:34:00Z</cp:lastPrinted>
  <dcterms:created xsi:type="dcterms:W3CDTF">2023-05-26T07:15:00Z</dcterms:created>
  <dcterms:modified xsi:type="dcterms:W3CDTF">2026-04-13T01:03:00Z</dcterms:modified>
</cp:coreProperties>
</file>