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rFonts w:ascii="굴림"/>
                <w:b/>
              </w:rPr>
              <w:t>함수 외우기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2021.09.17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자택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3" w:name="_GoBack"/>
            <w:r>
              <w:rPr>
                <w:rFonts w:eastAsia="굴림"/>
                <w:sz w:val="22"/>
              </w:rPr>
              <w:t>오전</w:t>
            </w:r>
            <w:bookmarkEnd w:id="3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1. 숫자와 문자열의 다양한 기능: format() "{}문자{}".format(1,2)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2. 문자열 구성 파악하기 is함수명() -&gt; True 또는 False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00"/>
              <w:jc w:val="left"/>
            </w:pPr>
            <w:r>
              <w:rPr>
                <w:rFonts w:ascii="굴림"/>
              </w:rPr>
              <w:t>3. 문자열 자르기 : split()-&gt; 문자열.split()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4. 조건문 : if 조건식:, if ~else, if~elif 조건식: !elif ...~else: 조건식 없음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5. 날짜, 시간 함수 : datetime, import 의미 , inport datetime as dt -&gt; alias명을 사용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6. list -&gt; 관련 함수 append(), extend(), pop(), insert(), remove(), clear(), del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7. 반복문 -&gt; for 변수 in 라스트 :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2021-09-17T08:39:14.115</dcterms:modified>
</cp:coreProperties>
</file>