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"https://segmentfault.com/a/1190000016389031"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https://segmentfault.com/a/1190000016389031</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参考文章：</w:t>
      </w: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https://blog.csdn.net/itpinpai/article/details/48002697</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"https://www.jb51.net/article/99675.htm"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https://www.jb51.net/article/99675.htm</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var str = '2359844564654';</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function test3(str)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var iNum = str.length % 3; //余数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prev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arr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if(iNum != 0)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arr.push(prev);</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str = str.substring(iNum);</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for(var i = 0; i &lt; str.length; i++)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str[i];</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if(iNow == 3 &amp;&amp; tmp)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arr.push(tmp);</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return arr.join(',');</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alert(test3(str));</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numPr>
          <w:ilvl w:val="0"/>
          <w:numId w:val="3"/>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HTTP协议讲解及常见状态码</w:t>
      </w:r>
    </w:p>
    <w:p>
      <w:pPr>
        <w:widowControl w:val="0"/>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1**</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信息，服务器收到请求，需要请求者继续执行操作</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2**</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成功，操作被成功接收并处理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3**</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重定向，需要进一步的操作以完成请求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4**</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客户端错误，请求包含语法错误或无法完成请求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5**</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服务器错误，服务器在处理请求的过程中发生了错误</w:t>
      </w:r>
    </w:p>
    <w:p>
      <w:pPr>
        <w:widowControl w:val="0"/>
        <w:numPr>
          <w:ilvl w:val="0"/>
          <w:numId w:val="0"/>
        </w:numPr>
        <w:ind w:firstLine="420" w:firstLineChars="0"/>
        <w:jc w:val="left"/>
        <w:rPr>
          <w:rFonts w:hint="eastAsia" w:ascii="微软雅黑" w:hAnsi="微软雅黑" w:eastAsia="微软雅黑" w:cs="微软雅黑"/>
          <w:b/>
          <w:bCs/>
          <w:color w:val="00B0F0"/>
          <w:kern w:val="2"/>
          <w:sz w:val="21"/>
          <w:szCs w:val="21"/>
          <w:lang w:val="en-US" w:eastAsia="zh-CN" w:bidi="ar-SA"/>
        </w:rPr>
      </w:pPr>
      <w:r>
        <w:rPr>
          <w:rFonts w:hint="eastAsia" w:ascii="微软雅黑" w:hAnsi="微软雅黑" w:eastAsia="微软雅黑" w:cs="微软雅黑"/>
          <w:b/>
          <w:bCs/>
          <w:color w:val="00B0F0"/>
          <w:kern w:val="2"/>
          <w:sz w:val="21"/>
          <w:szCs w:val="21"/>
          <w:lang w:val="en-US" w:eastAsia="zh-CN" w:bidi="ar-SA"/>
        </w:rPr>
        <w:t>常见状态码解释：</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bCs/>
          <w:color w:val="00B0F0"/>
          <w:kern w:val="2"/>
          <w:sz w:val="21"/>
          <w:szCs w:val="21"/>
          <w:lang w:val="en-US" w:eastAsia="zh-CN" w:bidi="ar-SA"/>
        </w:rPr>
        <w:t>　　</w:t>
      </w:r>
      <w:r>
        <w:rPr>
          <w:rFonts w:hint="eastAsia" w:ascii="微软雅黑" w:hAnsi="微软雅黑" w:eastAsia="微软雅黑" w:cs="微软雅黑"/>
          <w:b w:val="0"/>
          <w:bCs w:val="0"/>
          <w:color w:val="00B0F0"/>
          <w:kern w:val="2"/>
          <w:sz w:val="18"/>
          <w:szCs w:val="18"/>
          <w:lang w:val="en-US" w:eastAsia="zh-CN" w:bidi="ar-SA"/>
        </w:rPr>
        <w:t>1XX系列：指定客户端应相应的某些动作，代表请求已被接受，需要继续处理。由于 HTTP/1.0 协议中没有定义任何 1xx 状态码，所以除非在某些试验条件下，服务器禁止向此类客户端发送 1xx 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2XX系列：代表请求已成功被服务器接收、理解、并接受。这系列中最常见的有200、201状态码。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200状态码：表示请求已成功，请求所希望的响应头或数据体将随此响应返回</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201状态码：表示请求成功并且服务器创建了新的资源，且其 URI 已经随Location 头信息返回。假如需要的资源无法及时建立的话，应当返回 '202 Accepted'</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202状态码：服务器已接受请求，但尚未处理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3XX系列：代表需要客户端采取进一步的操作才能完成请求，这些状态码用来重定向，后续的请求地址（重定向目标）在本次响应的 Location 域中指明。这系列中最常见的有301、302状态码。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301状态码：被请求的资源已永久移动到新位置。服务器返回此响应（对 GET 或 HEAD 请求的响应）时，会自动将请求者转到新位置。</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302状态码：请求的资源临时从不同的URI响应请求，但请求者应继续使用原有位置来进行以后的请求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304自从上次请求后，请求的网页未修改过。服务器返回此响应时，不会返回网页内容。 如果网页自请求者上次请求后再也没有更改过，您应将服务器配置为返回此响应(称为 If-Modified-Since HTTP 标头)。</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4XX系列：表示请求错误。代表了客户端看起来可能发生了错误，妨碍了服务器的处理。常见有：401、404状态码。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401状态码：请求要求身份验证。 对于需要登录的网页，服务器可能返回此响应。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403状态码：服务器已经理解请求，但是拒绝执行它。与401响应不同的是，身份验证并不能提供任何帮助，而且这个请求也不应该被重复提交。</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pPr>
        <w:widowControl w:val="0"/>
        <w:numPr>
          <w:ilvl w:val="0"/>
          <w:numId w:val="0"/>
        </w:numPr>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5xx系列：代表了服务器在处理请求的过程中有错误或者异常状态发生，也有可能是服务器意识到以当前的软硬件资源无法完成对请求的处理。常见有500、503状态码。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500状态码：服务器遇到了一个未曾预料的状况，导致了它无法完成对请求的处理。一般来说，这个问题都会在服务器的程序码出错时出现。</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503状态码：由于临时的服务器维护或者过载，服务器当前无法处理请求。通常，这个是暂时状态，一段时间会恢复</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参考文章：</w:t>
      </w:r>
      <w:r>
        <w:rPr>
          <w:rFonts w:hint="eastAsia" w:ascii="微软雅黑" w:hAnsi="微软雅黑" w:eastAsia="微软雅黑" w:cs="微软雅黑"/>
          <w:b w:val="0"/>
          <w:bCs w:val="0"/>
          <w:color w:val="00B0F0"/>
          <w:kern w:val="2"/>
          <w:sz w:val="18"/>
          <w:szCs w:val="18"/>
          <w:lang w:val="en-US" w:eastAsia="zh-CN" w:bidi="ar-SA"/>
        </w:rPr>
        <w:fldChar w:fldCharType="begin"/>
      </w:r>
      <w:r>
        <w:rPr>
          <w:rFonts w:hint="eastAsia" w:ascii="微软雅黑" w:hAnsi="微软雅黑" w:eastAsia="微软雅黑" w:cs="微软雅黑"/>
          <w:b w:val="0"/>
          <w:bCs w:val="0"/>
          <w:color w:val="00B0F0"/>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00B0F0"/>
          <w:kern w:val="2"/>
          <w:sz w:val="18"/>
          <w:szCs w:val="18"/>
          <w:lang w:val="en-US" w:eastAsia="zh-CN" w:bidi="ar-SA"/>
        </w:rPr>
        <w:fldChar w:fldCharType="separate"/>
      </w:r>
      <w:r>
        <w:rPr>
          <w:rStyle w:val="4"/>
          <w:rFonts w:hint="eastAsia" w:ascii="微软雅黑" w:hAnsi="微软雅黑" w:eastAsia="微软雅黑" w:cs="微软雅黑"/>
          <w:b w:val="0"/>
          <w:bCs w:val="0"/>
          <w:color w:val="00B0F0"/>
          <w:kern w:val="2"/>
          <w:sz w:val="18"/>
          <w:szCs w:val="18"/>
          <w:lang w:val="en-US" w:eastAsia="zh-CN" w:bidi="ar-SA"/>
        </w:rPr>
        <w:t>https://www.jianshu.com/p/27862635c077</w:t>
      </w:r>
      <w:r>
        <w:rPr>
          <w:rFonts w:hint="eastAsia" w:ascii="微软雅黑" w:hAnsi="微软雅黑" w:eastAsia="微软雅黑" w:cs="微软雅黑"/>
          <w:b w:val="0"/>
          <w:bCs w:val="0"/>
          <w:color w:val="00B0F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begin"/>
      </w:r>
      <w:r>
        <w:rPr>
          <w:rFonts w:hint="eastAsia" w:ascii="微软雅黑" w:hAnsi="微软雅黑" w:eastAsia="微软雅黑" w:cs="微软雅黑"/>
          <w:b w:val="0"/>
          <w:bCs w:val="0"/>
          <w:color w:val="7F7F7F" w:themeColor="background1" w:themeShade="80"/>
          <w:kern w:val="2"/>
          <w:sz w:val="18"/>
          <w:szCs w:val="18"/>
          <w:lang w:val="en-US" w:eastAsia="zh-CN" w:bidi="ar-SA"/>
        </w:rPr>
        <w:instrText xml:space="preserve"> HYPERLINK "https://blog.csdn.net/q1056843325/article/details/53147180" </w:instrTex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separate"/>
      </w:r>
      <w:r>
        <w:rPr>
          <w:rStyle w:val="4"/>
          <w:rFonts w:hint="eastAsia" w:ascii="微软雅黑" w:hAnsi="微软雅黑" w:eastAsia="微软雅黑" w:cs="微软雅黑"/>
          <w:b w:val="0"/>
          <w:bCs w:val="0"/>
          <w:color w:val="7F7F7F" w:themeColor="background1" w:themeShade="80"/>
          <w:kern w:val="2"/>
          <w:sz w:val="18"/>
          <w:szCs w:val="18"/>
          <w:lang w:val="en-US" w:eastAsia="zh-CN" w:bidi="ar-SA"/>
        </w:rPr>
        <w:t>https://blog.csdn.net/q1056843325/article/details/53147180</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widowControl w:val="0"/>
        <w:numPr>
          <w:ilvl w:val="0"/>
          <w:numId w:val="3"/>
        </w:numPr>
        <w:ind w:left="0" w:leftChars="0" w:firstLine="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移动端 Retina屏 各大主流网站1px的解决方案</w:t>
      </w:r>
    </w:p>
    <w:p>
      <w:pPr>
        <w:widowControl w:val="0"/>
        <w:numPr>
          <w:numId w:val="0"/>
        </w:numPr>
        <w:ind w:leftChars="0"/>
        <w:jc w:val="left"/>
        <w:rPr>
          <w:rFonts w:hint="eastAsia" w:ascii="微软雅黑" w:hAnsi="微软雅黑" w:eastAsia="微软雅黑" w:cs="微软雅黑"/>
          <w:b/>
          <w:bCs/>
          <w:color w:val="auto"/>
          <w:kern w:val="2"/>
          <w:sz w:val="21"/>
          <w:szCs w:val="21"/>
          <w:lang w:val="en-US" w:eastAsia="zh-CN" w:bidi="ar-SA"/>
        </w:rPr>
      </w:pPr>
    </w:p>
    <w:p>
      <w:p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"http://www.cnblogs.com/surfaces/p/5158582.html"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http://www.cnblogs.com/surfaces/p/5158582.html</w:t>
      </w:r>
      <w:r>
        <w:rPr>
          <w:rFonts w:hint="eastAsia" w:ascii="微软雅黑" w:hAnsi="微软雅黑" w:eastAsia="微软雅黑" w:cs="微软雅黑"/>
          <w:b w:val="0"/>
          <w:bCs w:val="0"/>
          <w:color w:val="auto"/>
          <w:kern w:val="2"/>
          <w:sz w:val="18"/>
          <w:szCs w:val="18"/>
          <w:lang w:val="en-US" w:eastAsia="zh-CN" w:bidi="ar-SA"/>
        </w:rPr>
        <w:fldChar w:fldCharType="end"/>
      </w:r>
    </w:p>
    <w:p>
      <w:p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"https://www.w3cplus.com/mobile/vw-layout-in-vue.html"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https://www.w3cplus.com/mobile/vw-layout-in-vue.html</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tabs>
          <w:tab w:val="left" w:pos="1068"/>
        </w:tabs>
        <w:ind w:left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十一、BFC是啥子？如何创建BFC？？？</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在一个Web页面的CSS渲染中，块级格式化上下文 (Block Fromatting Context)是按照块级盒子布局的。W3C对BFC的定义如下：</w:t>
      </w:r>
    </w:p>
    <w:p>
      <w:pPr>
        <w:widowControl w:val="0"/>
        <w:numPr>
          <w:ilvl w:val="0"/>
          <w:numId w:val="0"/>
        </w:numPr>
        <w:tabs>
          <w:tab w:val="left" w:pos="1068"/>
        </w:tabs>
        <w:jc w:val="left"/>
        <w:rPr>
          <w:rFonts w:hint="eastAsia" w:ascii="微软雅黑" w:hAnsi="微软雅黑" w:eastAsia="微软雅黑" w:cs="微软雅黑"/>
          <w:b w:val="0"/>
          <w:bCs w:val="0"/>
          <w:color w:val="FF0000"/>
          <w:kern w:val="2"/>
          <w:sz w:val="18"/>
          <w:szCs w:val="18"/>
          <w:lang w:val="en-US" w:eastAsia="zh-CN" w:bidi="ar-SA"/>
        </w:rPr>
      </w:pPr>
      <w:r>
        <w:rPr>
          <w:rFonts w:hint="eastAsia" w:ascii="微软雅黑" w:hAnsi="微软雅黑" w:eastAsia="微软雅黑" w:cs="微软雅黑"/>
          <w:b w:val="0"/>
          <w:bCs w:val="0"/>
          <w:color w:val="FF0000"/>
          <w:kern w:val="2"/>
          <w:sz w:val="18"/>
          <w:szCs w:val="18"/>
          <w:lang w:val="en-US" w:eastAsia="zh-CN" w:bidi="ar-SA"/>
        </w:rPr>
        <w:t>浮动元素和绝对定位元素，非块级盒子的块级容器（例如 inline-blocks, table-cells, 和 table-captions），以及overflow值不为“visiable”的块级盒子，都会为他们的内容创建新的BFC（块级格式上下文）。</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为了便于理解，我们换一种方式来重新定义BFC。一个HTML元素要创建BFC，则满足下列的任意一个或多个条件即可：</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1、float的值不是none。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2、position的值不是static或者relative。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3、display的值是inline-block、table-cell、flex、table-caption或者inline-flex</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4、overflow的值不是visible</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BFC是一个独立的布局环境，其中的元素布局是不受外界的影响，并且在一个BFC中，块盒与行盒（行盒由一行中所有的内联元素所组成）都会垂直的沿着其父元素的边框排列。</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"https://www.cnblogs.com/libin-1/p/7098468.html"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https://www.cnblogs.com/libin-1/p/7098468.html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"https://www.cnblogs.com/lhb25/p/inside-block-formatting-ontext.html"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https://www.cnblogs.com/lhb25/p/inside-block-formatting-ontext.html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p>
    <w:p>
      <w:pPr>
        <w:widowControl w:val="0"/>
        <w:numPr>
          <w:ilvl w:val="0"/>
          <w:numId w:val="0"/>
        </w:num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十二、跨域相关知识点</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简单总结一下：</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jsonp（使用script、link和img标签跨域，但局限性是只适用于get方法）。</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CORS（在服务器上设置允许跨域，兼容性较差）。</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WebSocket。</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postMessage（跨域DOM操作）。</w:t>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"https://segmentfault.com/a/1190000015597029"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https://segmentfault.com/a/1190000015597029</w:t>
      </w:r>
      <w:r>
        <w:rPr>
          <w:rFonts w:hint="eastAsia" w:ascii="微软雅黑" w:hAnsi="微软雅黑" w:eastAsia="微软雅黑" w:cs="微软雅黑"/>
          <w:b w:val="0"/>
          <w:bCs w:val="0"/>
          <w:color w:val="auto"/>
          <w:kern w:val="2"/>
          <w:sz w:val="18"/>
          <w:szCs w:val="18"/>
          <w:lang w:val="en-US" w:eastAsia="zh-CN" w:bidi="ar-SA"/>
        </w:rPr>
        <w:fldChar w:fldCharType="end"/>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"https://mp.weixin.qq.com/s/Hwwl1V3RcKNWB6oiKnYgSw"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https://mp.weixin.qq.com/s/Hwwl1V3RcKNWB6oiKnYgSw</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十三、原生AJAX写法</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xhr = null;</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if(window.XMLHttpRequest){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}else{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ActiveXObject("Microsoft.XMLHttp");</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 xml:space="preserve">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xhr.onreadystatechange=function(){</w:t>
      </w:r>
    </w:p>
    <w:p>
      <w:p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if(xhr.readyState==4 &amp;&amp; xhr.status==200){</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str=xhr.responseText;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$("uname-show").innerHTML=str;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//获取用户名输入框的值</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uname=$("uname").value;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//get请求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xhr.open("get","checkUname.php?uname="+uname,true);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xhr.open("post", "day20_check.php", true);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xhr.setRequestHeader("Content-Type", "application/x-www-form-urlencoded");</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var name = $("name").value;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xhr.send("uname=" + name);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xhr.send(null);</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十四、前端性能优化</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简略总结常见的一下：</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压缩和合并CSS、JS、图片。（gulp、webpack）</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使用CDN内容分发网络。</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使用缓存（减少HTTP请求）。</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使AJAX可缓存。</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减少DOM个数。</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。。。。。。。（参见雅虎军规）。</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十五、浏览器兼容性</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个人认为现在浏览器兼容性更多的是考虑移动端的iOS和Android的差异，IE浏览器已经不算是重点考虑对象了。</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w:t>
      </w:r>
    </w:p>
    <w:p>
      <w:pPr>
        <w:numPr>
          <w:ilvl w:val="0"/>
          <w:numId w:val="6"/>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浏览器兼容问题一：不同浏览器的标签默认的margin和padding不同</w:t>
      </w:r>
    </w:p>
    <w:p>
      <w:pPr>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body,h1,h2,h3,ul,li,input,div,span,a,form …… { margin:0; padding:0; }</w:t>
      </w:r>
    </w:p>
    <w:p>
      <w:pPr>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normalize.css</w:t>
      </w:r>
    </w:p>
    <w:p>
      <w:pPr>
        <w:widowControl w:val="0"/>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H5新标签在IE9以下的浏览器识别 </w:t>
      </w:r>
    </w:p>
    <w:p>
      <w:pPr>
        <w:widowControl w:val="0"/>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&lt;!--[if lt IE 9]&gt;</w:t>
      </w:r>
    </w:p>
    <w:p>
      <w:pPr>
        <w:widowControl w:val="0"/>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&lt;script type="text/javascript" src="js/html5shiv.js"&gt;&lt;/script&gt;</w:t>
      </w:r>
    </w:p>
    <w:p>
      <w:pPr>
        <w:widowControl w:val="0"/>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&lt;![endif]--&gt;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标准的事件绑定方法函数为addEventListener，但IE下是attachEvent；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ajax的实现方式不同，这个我所理解的是获取XMLHttpRequest的不同，IE下是activeXObject。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CSS HACK。</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"https://segmentfault.com/a/1190000018163184"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https://segmentfault.com/a/1190000018163184</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"https://www.jianshu.com/p/95a4f7a9b391"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https://www.jianshu.com/p/95a4f7a9b391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十六、数组去重</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这里总结简单和常用的几种：</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1、使用Set的特性</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return Array.from(new Set(arr));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console.log(unique(arrTest)); //[1, "2", undefined, null, true, {…}, {…},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这种方法不能去掉{}。</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2、使用普通的循环操作</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arrTest2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unique2(arr){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i = 0; i &lt; arr.length; i++){</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j = i + 1; j &lt; arr.length; 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if(arr[i] == arr[j]){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arr.splice(j, 1);</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return 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console.log(unique2(arrTest2));// [1, "2", undefined,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3、使用indexOf()</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arrTest2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arrayTemp =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unique3(arr){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item of 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if(arrayTemp.indexOf(item) == -1){</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arrayTemp.push(item);</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unique3(arrTest2)</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console.log(arrayTemp);//[1, "2", undefined, null, true, {…}, {…}, NaN, NaN, "NaN"]</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"https://segmentfault.com/a/1190000016418021"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https://segmentfault.com/a/1190000016418021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十七、强缓存和协商缓存</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"https://www.cnblogs.com/liucldq/p/9675307.html"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https://www.cnblogs.com/liucldq/p/9675307.html</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"https://segmentfault.com/a/1190000015052545#articleHeader5"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https://segmentfault.com/a/1190000015052545#articleHeader5</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7"/>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回调函数（回调地狱）、Promise、Async和Await(ES7)。</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比如用Promise封装一个AJAX请求</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function ajax({type, url, data, dataType}){</w:t>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 xml:space="preserve">  </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//创建AJAX对象</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return new Promise(function(success){</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xhr=new XMLHttpRequest();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//2.监听</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xhr.onreadystatechange=function(){</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if(xhr.readyState==4&amp;&amp;xhr.status==200){</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res=xhr.responseText;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if(dataType === "json")</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res = JSON.parse(res);</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0000FF"/>
          <w:kern w:val="2"/>
          <w:sz w:val="18"/>
          <w:szCs w:val="18"/>
          <w:lang w:val="en-US" w:eastAsia="zh-CN" w:bidi="ar-SA"/>
        </w:rPr>
        <w:t>success(res);</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//3.打开连接</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if(type === "get" &amp;&amp; data !== undefined){</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url += "?" + data;</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xhr.open(type, url ,true);</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if(type === "post"){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xhr.setRequestHeader(</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"Content-Type",</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"application/x-www-form-urlencoded"</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//4.发送请求</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if(type === "get"){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xhr.send(null);</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else if(data !== undefined){</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xhr.send(data);</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调用：ajax(参数).then(function(data){ .... })</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"https://mp.weixin.qq.com/s/V6EtgI_mAFk7FAFPSVFg4Q"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https://mp.weixin.qq.com/s/V6EtgI_mAFk7FAFPSVFg4Q</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"http://es6.ruanyifeng.com/#docs/promise"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http://es6.ruanyifeng.com/#docs/promise</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"https://segmentfault.com/a/1190000017224799"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https://segmentfault.com/a/1190000017224799</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中途穿插（#滑稽）：</w:t>
      </w:r>
    </w:p>
    <w:p>
      <w:pPr>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粘连布局（头条面试题）</w:t>
      </w:r>
    </w:p>
    <w:p>
      <w:pPr>
        <w:numPr>
          <w:ilvl w:val="0"/>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、有一块内容&lt;main&gt;，当&lt;main&gt;的高康足够长的时候，紧跟在&lt;main&gt;后面的元素&lt;footer&gt;会跟在&lt;main&gt;元素的后面。</w:t>
      </w:r>
    </w:p>
    <w:p>
      <w:pPr>
        <w:numPr>
          <w:ilvl w:val="0"/>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、当&lt;main&gt;元素比较短的时候(比如小于屏幕的高度),我们期望这个&lt;footer&gt;元素能够“粘连”在屏幕的底部</w:t>
      </w:r>
    </w:p>
    <w:p>
      <w:pPr>
        <w:numPr>
          <w:ilvl w:val="0"/>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311400" cy="3018790"/>
            <wp:effectExtent l="0" t="0" r="12700"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311400" cy="3018790"/>
                    </a:xfrm>
                    <a:prstGeom prst="rect">
                      <a:avLst/>
                    </a:prstGeom>
                  </pic:spPr>
                </pic:pic>
              </a:graphicData>
            </a:graphic>
          </wp:inline>
        </w:drawing>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1976755" cy="3040380"/>
            <wp:effectExtent l="0" t="0" r="444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1976755" cy="3040380"/>
                    </a:xfrm>
                    <a:prstGeom prst="rect">
                      <a:avLst/>
                    </a:prstGeom>
                  </pic:spPr>
                </pic:pic>
              </a:graphicData>
            </a:graphic>
          </wp:inline>
        </w:drawing>
      </w:r>
    </w:p>
    <w:p>
      <w:pPr>
        <w:numPr>
          <w:ilvl w:val="0"/>
          <w:numId w:val="0"/>
        </w:numPr>
        <w:jc w:val="cente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799080" cy="3596640"/>
            <wp:effectExtent l="0" t="0" r="1270"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2799080" cy="3596640"/>
                    </a:xfrm>
                    <a:prstGeom prst="rect">
                      <a:avLst/>
                    </a:prstGeom>
                  </pic:spPr>
                </pic:pic>
              </a:graphicData>
            </a:graphic>
          </wp:inline>
        </w:drawing>
      </w:r>
    </w:p>
    <w:p>
      <w:pPr>
        <w:numPr>
          <w:ilvl w:val="0"/>
          <w:numId w:val="0"/>
        </w:numPr>
        <w:jc w:val="left"/>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begin"/>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instrText xml:space="preserve"> HYPERLINK "https://mp.weixin.qq.com/s/W4f32Y8DyUQGuyyw0iVndw" </w:instrTex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separate"/>
      </w:r>
      <w:r>
        <w:rPr>
          <w:rStyle w:val="4"/>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t>https://mp.weixin.qq.com/s/W4f32Y8DyUQGuyyw0iVndw</w: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end"/>
      </w:r>
    </w:p>
    <w:p>
      <w:pPr>
        <w:numPr>
          <w:ilvl w:val="0"/>
          <w:numId w:val="7"/>
        </w:numPr>
        <w:ind w:left="0" w:leftChars="0" w:firstLine="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关于this</w:t>
      </w:r>
    </w:p>
    <w:p>
      <w:pPr>
        <w:numPr>
          <w:ilvl w:val="0"/>
          <w:numId w:val="0"/>
        </w:numPr>
        <w:ind w:leftChars="0"/>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"https://segmentfault.com/a/1190000017075730"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color w:val="auto"/>
          <w:kern w:val="2"/>
          <w:sz w:val="18"/>
          <w:szCs w:val="18"/>
          <w:lang w:val="en-US" w:eastAsia="zh-CN" w:bidi="ar-SA"/>
        </w:rPr>
        <w:t>https://segmentfault.com/a/1190000017075730</w:t>
      </w:r>
      <w:r>
        <w:rPr>
          <w:rFonts w:hint="eastAsia" w:ascii="微软雅黑" w:hAnsi="微软雅黑" w:eastAsia="微软雅黑" w:cs="微软雅黑"/>
          <w:b w:val="0"/>
          <w:bCs w:val="0"/>
          <w:color w:val="auto"/>
          <w:kern w:val="2"/>
          <w:sz w:val="18"/>
          <w:szCs w:val="18"/>
          <w:lang w:val="en-US" w:eastAsia="zh-CN" w:bidi="ar-SA"/>
        </w:rPr>
        <w:fldChar w:fldCharType="end"/>
      </w:r>
      <w:r>
        <w:rPr>
          <w:rFonts w:hint="eastAsia" w:ascii="微软雅黑" w:hAnsi="微软雅黑" w:eastAsia="微软雅黑" w:cs="微软雅黑"/>
          <w:b w:val="0"/>
          <w:bCs w:val="0"/>
          <w:color w:val="auto"/>
          <w:kern w:val="2"/>
          <w:sz w:val="18"/>
          <w:szCs w:val="18"/>
          <w:lang w:val="en-US" w:eastAsia="zh-CN" w:bidi="ar-SA"/>
        </w:rPr>
        <w:t>（这篇文章对this讲的非常透彻，推荐看一下。）</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二十、JS中的模块规范（AMD、CMD、ES6和CommonJS）</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"https://www.cnblogs.com/Leo_wl/p/4067784.html"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https://www.cnblogs.com/Leo_wl/p/4067784.html</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二十一、HTTP与HTTPS详解</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https://www.jianshu.com/p/27862635c077</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二十二、MVC和MVP和MVVM</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"https://mp.weixin.qq.com/s/EzxfJLb5Hjxyw0_S5rThvg"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https://mp.weixin.qq.com/s/EzxfJLb5Hjxyw0_S5rThvg</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二十三、Cookie、localStorage、sessionStorage</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二十四、HTTPS协议解读及与HTTP的区别</w:t>
      </w:r>
    </w:p>
    <w:p>
      <w:pPr>
        <w:numPr>
          <w:ilvl w:val="0"/>
          <w:numId w:val="0"/>
        </w:numPr>
        <w:jc w:val="left"/>
        <w:rPr>
          <w:rFonts w:hint="eastAsia" w:ascii="微软雅黑" w:hAnsi="微软雅黑" w:eastAsia="微软雅黑" w:cs="微软雅黑"/>
          <w:b/>
          <w:bCs/>
          <w:color w:val="0000FF"/>
          <w:kern w:val="2"/>
          <w:sz w:val="21"/>
          <w:szCs w:val="21"/>
          <w:lang w:val="en-US" w:eastAsia="zh-CN" w:bidi="ar-SA"/>
        </w:rPr>
      </w:pPr>
      <w:r>
        <w:rPr>
          <w:rFonts w:hint="eastAsia" w:ascii="微软雅黑" w:hAnsi="微软雅黑" w:eastAsia="微软雅黑" w:cs="微软雅黑"/>
          <w:b/>
          <w:bCs/>
          <w:color w:val="0000FF"/>
          <w:kern w:val="2"/>
          <w:sz w:val="21"/>
          <w:szCs w:val="21"/>
          <w:lang w:val="en-US" w:eastAsia="zh-CN" w:bidi="ar-SA"/>
        </w:rPr>
        <w:t>Http和Https的区别如下：</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1、https协议需要到CA申请证书，大多数情况下需要一定费用</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2、Http是超文本传输协议，信息采用明文传输，Https则是具有安全性SSL加密传输协议</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3、Http和Https端口号不一样，Http是80端口，Https是443端口</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4、Http连接是无状态的，而Https采用Http+SSL构建可进行加密传输、身份认证的网络协议，更安全。</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5、Http协议建立连接的过程比Https协议快。因为Https除了Tcp三次握手，还要经过SSL握手。连接建立之后数据传输速度，二者无明显区别。</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这里有两</w:t>
      </w:r>
      <w:bookmarkStart w:id="0" w:name="_GoBack"/>
      <w:bookmarkEnd w:id="0"/>
      <w:r>
        <w:rPr>
          <w:rFonts w:hint="eastAsia" w:ascii="微软雅黑" w:hAnsi="微软雅黑" w:eastAsia="微软雅黑" w:cs="微软雅黑"/>
          <w:b w:val="0"/>
          <w:bCs w:val="0"/>
          <w:color w:val="auto"/>
          <w:kern w:val="2"/>
          <w:sz w:val="18"/>
          <w:szCs w:val="18"/>
          <w:lang w:val="en-US" w:eastAsia="zh-CN" w:bidi="ar-SA"/>
        </w:rPr>
        <w:t>篇解读HTTPS工作原理的文章：</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"https://mp.weixin.qq.com/s/lNfsJv1zOI9wRO-1aiw2cg"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https://mp.weixin.qq.com/s/lNfsJv1zOI9wRO-1aiw2cg</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"https://mp.weixin.qq.com/s/UwPVOaYu4CBruTXfZ5PSEA"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https://mp.weixin.qq.com/s/UwPVOaYu4CBruTXfZ5PSEA</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57276"/>
    <w:multiLevelType w:val="singleLevel"/>
    <w:tmpl w:val="9EE57276"/>
    <w:lvl w:ilvl="0" w:tentative="0">
      <w:start w:val="1"/>
      <w:numFmt w:val="decimal"/>
      <w:suff w:val="nothing"/>
      <w:lvlText w:val="%1、"/>
      <w:lvlJc w:val="left"/>
      <w:pPr>
        <w:ind w:left="1068" w:leftChars="0" w:firstLine="0" w:firstLineChars="0"/>
      </w:pPr>
    </w:lvl>
  </w:abstractNum>
  <w:abstractNum w:abstractNumId="1">
    <w:nsid w:val="BF018811"/>
    <w:multiLevelType w:val="singleLevel"/>
    <w:tmpl w:val="BF018811"/>
    <w:lvl w:ilvl="0" w:tentative="0">
      <w:start w:val="9"/>
      <w:numFmt w:val="chineseCounting"/>
      <w:suff w:val="nothing"/>
      <w:lvlText w:val="%1、"/>
      <w:lvlJc w:val="left"/>
      <w:rPr>
        <w:rFonts w:hint="eastAsia"/>
      </w:rPr>
    </w:lvl>
  </w:abstractNum>
  <w:abstractNum w:abstractNumId="2">
    <w:nsid w:val="F53A4315"/>
    <w:multiLevelType w:val="singleLevel"/>
    <w:tmpl w:val="F53A4315"/>
    <w:lvl w:ilvl="0" w:tentative="0">
      <w:start w:val="18"/>
      <w:numFmt w:val="chineseCounting"/>
      <w:suff w:val="nothing"/>
      <w:lvlText w:val="%1、"/>
      <w:lvlJc w:val="left"/>
      <w:rPr>
        <w:rFonts w:hint="eastAsia"/>
      </w:rPr>
    </w:lvl>
  </w:abstractNum>
  <w:abstractNum w:abstractNumId="3">
    <w:nsid w:val="0990F332"/>
    <w:multiLevelType w:val="singleLevel"/>
    <w:tmpl w:val="0990F332"/>
    <w:lvl w:ilvl="0" w:tentative="0">
      <w:start w:val="1"/>
      <w:numFmt w:val="decimal"/>
      <w:suff w:val="nothing"/>
      <w:lvlText w:val="%1、"/>
      <w:lvlJc w:val="left"/>
    </w:lvl>
  </w:abstractNum>
  <w:abstractNum w:abstractNumId="4">
    <w:nsid w:val="1EC7BB7A"/>
    <w:multiLevelType w:val="singleLevel"/>
    <w:tmpl w:val="1EC7BB7A"/>
    <w:lvl w:ilvl="0" w:tentative="0">
      <w:start w:val="1"/>
      <w:numFmt w:val="decimal"/>
      <w:suff w:val="nothing"/>
      <w:lvlText w:val="%1、"/>
      <w:lvlJc w:val="left"/>
    </w:lvl>
  </w:abstractNum>
  <w:abstractNum w:abstractNumId="5">
    <w:nsid w:val="6A0C1967"/>
    <w:multiLevelType w:val="singleLevel"/>
    <w:tmpl w:val="6A0C1967"/>
    <w:lvl w:ilvl="0" w:tentative="0">
      <w:start w:val="1"/>
      <w:numFmt w:val="chineseCounting"/>
      <w:suff w:val="nothing"/>
      <w:lvlText w:val="%1、"/>
      <w:lvlJc w:val="left"/>
      <w:rPr>
        <w:rFonts w:hint="eastAsia"/>
      </w:rPr>
    </w:lvl>
  </w:abstractNum>
  <w:abstractNum w:abstractNumId="6">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2645F43"/>
    <w:rsid w:val="08A1140D"/>
    <w:rsid w:val="093425DC"/>
    <w:rsid w:val="09EF7598"/>
    <w:rsid w:val="0ACE2F1A"/>
    <w:rsid w:val="0BCB10E7"/>
    <w:rsid w:val="0CCE1C85"/>
    <w:rsid w:val="0CE72227"/>
    <w:rsid w:val="0D327D7E"/>
    <w:rsid w:val="0DEF00B9"/>
    <w:rsid w:val="0EA31A74"/>
    <w:rsid w:val="0FC542BC"/>
    <w:rsid w:val="0FC62616"/>
    <w:rsid w:val="10C91248"/>
    <w:rsid w:val="17AC13E0"/>
    <w:rsid w:val="19276E4E"/>
    <w:rsid w:val="1FFD327D"/>
    <w:rsid w:val="22CE1225"/>
    <w:rsid w:val="22FE254E"/>
    <w:rsid w:val="23FF34AB"/>
    <w:rsid w:val="25B24AA7"/>
    <w:rsid w:val="25F56E8C"/>
    <w:rsid w:val="289C091D"/>
    <w:rsid w:val="2B3C4F7D"/>
    <w:rsid w:val="2C2D5673"/>
    <w:rsid w:val="2E017CFF"/>
    <w:rsid w:val="2E4A0A62"/>
    <w:rsid w:val="312C0240"/>
    <w:rsid w:val="316428CD"/>
    <w:rsid w:val="343026DF"/>
    <w:rsid w:val="376D7251"/>
    <w:rsid w:val="38C27AC5"/>
    <w:rsid w:val="3920231B"/>
    <w:rsid w:val="3AED0143"/>
    <w:rsid w:val="3C5960AD"/>
    <w:rsid w:val="44C617AC"/>
    <w:rsid w:val="46792D6F"/>
    <w:rsid w:val="468842F6"/>
    <w:rsid w:val="4A7F2A0B"/>
    <w:rsid w:val="4E0E04BD"/>
    <w:rsid w:val="4F2264EB"/>
    <w:rsid w:val="50807F87"/>
    <w:rsid w:val="52A43295"/>
    <w:rsid w:val="535B6468"/>
    <w:rsid w:val="566A1246"/>
    <w:rsid w:val="5A981717"/>
    <w:rsid w:val="5BAE5885"/>
    <w:rsid w:val="5CA92660"/>
    <w:rsid w:val="617A1731"/>
    <w:rsid w:val="639725D3"/>
    <w:rsid w:val="645A78F7"/>
    <w:rsid w:val="66E0301E"/>
    <w:rsid w:val="67DE2AA1"/>
    <w:rsid w:val="693101F7"/>
    <w:rsid w:val="69DB79A1"/>
    <w:rsid w:val="6A296456"/>
    <w:rsid w:val="6B625E94"/>
    <w:rsid w:val="6CDE20F8"/>
    <w:rsid w:val="6F49145D"/>
    <w:rsid w:val="721D3BA0"/>
    <w:rsid w:val="72B55D0D"/>
    <w:rsid w:val="73CF7872"/>
    <w:rsid w:val="75301D6B"/>
    <w:rsid w:val="7803591E"/>
    <w:rsid w:val="7CF631B5"/>
    <w:rsid w:val="7D601CAA"/>
    <w:rsid w:val="7E337FF0"/>
    <w:rsid w:val="7E3C5223"/>
    <w:rsid w:val="7F022873"/>
    <w:rsid w:val="7F1A0A19"/>
    <w:rsid w:val="7FEB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2019-02-21T06:53:43Z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