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w:t>
      </w: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https://www.jianshu.com/p/27862635c077</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ilvl w:val="0"/>
          <w:numId w:val="0"/>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十、移动端 Retina屏 各大主流网站1px的解决方案</w:t>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t>参考文章：</w:t>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"http://www.cnblogs.com/surfaces/p/5158582.html"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http://www.cnblogs.com/surfaces/p/5158582.html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ab/>
      </w:r>
      <w:r>
        <w:rPr>
          <w:rFonts w:hint="eastAsia" w:ascii="微软雅黑" w:hAnsi="微软雅黑" w:eastAsia="微软雅黑" w:cs="微软雅黑"/>
          <w:b/>
          <w:bCs/>
          <w:color w:val="auto"/>
          <w:kern w:val="2"/>
          <w:sz w:val="21"/>
          <w:szCs w:val="21"/>
          <w:lang w:val="en-US" w:eastAsia="zh-CN" w:bidi="ar-SA"/>
        </w:rPr>
        <w:fldChar w:fldCharType="begin"/>
      </w:r>
      <w:r>
        <w:rPr>
          <w:rFonts w:hint="eastAsia" w:ascii="微软雅黑" w:hAnsi="微软雅黑" w:eastAsia="微软雅黑" w:cs="微软雅黑"/>
          <w:b/>
          <w:bCs/>
          <w:color w:val="auto"/>
          <w:kern w:val="2"/>
          <w:sz w:val="21"/>
          <w:szCs w:val="21"/>
          <w:lang w:val="en-US" w:eastAsia="zh-CN" w:bidi="ar-SA"/>
        </w:rPr>
        <w:instrText xml:space="preserve"> HYPERLINK "https://www.w3cplus.com/mobile/vw-layout-in-vue.html" </w:instrText>
      </w:r>
      <w:r>
        <w:rPr>
          <w:rFonts w:hint="eastAsia" w:ascii="微软雅黑" w:hAnsi="微软雅黑" w:eastAsia="微软雅黑" w:cs="微软雅黑"/>
          <w:b/>
          <w:bCs/>
          <w:color w:val="auto"/>
          <w:kern w:val="2"/>
          <w:sz w:val="21"/>
          <w:szCs w:val="21"/>
          <w:lang w:val="en-US" w:eastAsia="zh-CN" w:bidi="ar-SA"/>
        </w:rPr>
        <w:fldChar w:fldCharType="separate"/>
      </w:r>
      <w:r>
        <w:rPr>
          <w:rStyle w:val="4"/>
          <w:rFonts w:hint="eastAsia" w:ascii="微软雅黑" w:hAnsi="微软雅黑" w:eastAsia="微软雅黑" w:cs="微软雅黑"/>
          <w:b/>
          <w:bCs/>
          <w:kern w:val="2"/>
          <w:sz w:val="21"/>
          <w:szCs w:val="21"/>
          <w:lang w:val="en-US" w:eastAsia="zh-CN" w:bidi="ar-SA"/>
        </w:rPr>
        <w:t>https://www.w3cplus.com/mobile/vw-layout-in-vue.html</w:t>
      </w:r>
      <w:r>
        <w:rPr>
          <w:rFonts w:hint="eastAsia" w:ascii="微软雅黑" w:hAnsi="微软雅黑" w:eastAsia="微软雅黑" w:cs="微软雅黑"/>
          <w:b/>
          <w:bCs/>
          <w:color w:val="auto"/>
          <w:kern w:val="2"/>
          <w:sz w:val="21"/>
          <w:szCs w:val="21"/>
          <w:lang w:val="en-US" w:eastAsia="zh-CN" w:bidi="ar-SA"/>
        </w:rPr>
        <w:fldChar w:fldCharType="end"/>
      </w:r>
    </w:p>
    <w:p>
      <w:pPr>
        <w:tabs>
          <w:tab w:val="left" w:pos="1068"/>
        </w:tabs>
        <w:jc w:val="left"/>
        <w:rPr>
          <w:rFonts w:hint="eastAsia" w:ascii="微软雅黑" w:hAnsi="微软雅黑" w:eastAsia="微软雅黑" w:cs="微软雅黑"/>
          <w:b/>
          <w:bCs/>
          <w:color w:val="auto"/>
          <w:kern w:val="2"/>
          <w:sz w:val="21"/>
          <w:szCs w:val="21"/>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18811"/>
    <w:multiLevelType w:val="singleLevel"/>
    <w:tmpl w:val="BF018811"/>
    <w:lvl w:ilvl="0" w:tentative="0">
      <w:start w:val="9"/>
      <w:numFmt w:val="chineseCounting"/>
      <w:suff w:val="nothing"/>
      <w:lvlText w:val="%1、"/>
      <w:lvlJc w:val="left"/>
      <w:rPr>
        <w:rFonts w:hint="eastAsia"/>
      </w:rPr>
    </w:lvl>
  </w:abstractNum>
  <w:abstractNum w:abstractNumId="1">
    <w:nsid w:val="6A0C1967"/>
    <w:multiLevelType w:val="singleLevel"/>
    <w:tmpl w:val="6A0C1967"/>
    <w:lvl w:ilvl="0" w:tentative="0">
      <w:start w:val="1"/>
      <w:numFmt w:val="chineseCounting"/>
      <w:suff w:val="nothing"/>
      <w:lvlText w:val="%1、"/>
      <w:lvlJc w:val="left"/>
      <w:rPr>
        <w:rFonts w:hint="eastAsia"/>
      </w:rPr>
    </w:lvl>
  </w:abstractNum>
  <w:abstractNum w:abstractNumId="2">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BCB10E7"/>
    <w:rsid w:val="0CCE1C85"/>
    <w:rsid w:val="0CE72227"/>
    <w:rsid w:val="0D327D7E"/>
    <w:rsid w:val="10C91248"/>
    <w:rsid w:val="19276E4E"/>
    <w:rsid w:val="22FE254E"/>
    <w:rsid w:val="25B24AA7"/>
    <w:rsid w:val="25F56E8C"/>
    <w:rsid w:val="289C091D"/>
    <w:rsid w:val="2B3C4F7D"/>
    <w:rsid w:val="2C2D5673"/>
    <w:rsid w:val="316428CD"/>
    <w:rsid w:val="343026DF"/>
    <w:rsid w:val="376D7251"/>
    <w:rsid w:val="38C27AC5"/>
    <w:rsid w:val="3920231B"/>
    <w:rsid w:val="3AED0143"/>
    <w:rsid w:val="44C617AC"/>
    <w:rsid w:val="4E0E04BD"/>
    <w:rsid w:val="4F2264EB"/>
    <w:rsid w:val="535B6468"/>
    <w:rsid w:val="5A981717"/>
    <w:rsid w:val="5CA92660"/>
    <w:rsid w:val="639725D3"/>
    <w:rsid w:val="645A78F7"/>
    <w:rsid w:val="693101F7"/>
    <w:rsid w:val="69DB79A1"/>
    <w:rsid w:val="6A296456"/>
    <w:rsid w:val="6CDE20F8"/>
    <w:rsid w:val="6F49145D"/>
    <w:rsid w:val="73CF7872"/>
    <w:rsid w:val="75301D6B"/>
    <w:rsid w:val="7D601CAA"/>
    <w:rsid w:val="7E337FF0"/>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2019-02-13T09:35:29Z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