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bCs/>
          <w:color w:val="auto"/>
          <w:kern w:val="2"/>
          <w:sz w:val="21"/>
          <w:szCs w:val="21"/>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6"/>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w:t>
      </w:r>
    </w:p>
    <w:p>
      <w:pPr>
        <w:numPr>
          <w:numId w:val="0"/>
        </w:numPr>
        <w:jc w:val="left"/>
        <w:rPr>
          <w:rFonts w:hint="eastAsia" w:ascii="微软雅黑" w:hAnsi="微软雅黑" w:eastAsia="微软雅黑" w:cs="微软雅黑"/>
          <w:b/>
          <w:bCs/>
          <w:color w:val="auto"/>
          <w:kern w:val="2"/>
          <w:sz w:val="21"/>
          <w:szCs w:val="21"/>
          <w:lang w:val="en-US" w:eastAsia="zh-CN" w:bidi="ar-SA"/>
        </w:rPr>
      </w:pPr>
      <w:bookmarkStart w:id="0" w:name="_GoBack"/>
      <w:bookmarkEnd w:id="0"/>
    </w:p>
    <w:p>
      <w:pPr>
        <w:numPr>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参考资料：</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"https://mp.weixin.qq.com/s/V6EtgI_mAFk7FAFPSVFg4Q"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https://mp.weixin.qq.com/s/V6EtgI_mAFk7FAFPSVFg4Q</w:t>
      </w:r>
      <w:r>
        <w:rPr>
          <w:rFonts w:hint="eastAsia" w:ascii="微软雅黑" w:hAnsi="微软雅黑" w:eastAsia="微软雅黑" w:cs="微软雅黑"/>
          <w:b/>
          <w:bCs/>
          <w:color w:val="auto"/>
          <w:kern w:val="2"/>
          <w:sz w:val="21"/>
          <w:szCs w:val="21"/>
          <w:lang w:val="en-US" w:eastAsia="zh-CN" w:bidi="ar-SA"/>
        </w:rPr>
        <w:fldChar w:fldCharType="end"/>
      </w:r>
    </w:p>
    <w:p>
      <w:pPr>
        <w:numPr>
          <w:numId w:val="0"/>
        </w:numPr>
        <w:jc w:val="left"/>
        <w:rPr>
          <w:rFonts w:hint="eastAsia" w:ascii="微软雅黑" w:hAnsi="微软雅黑" w:eastAsia="微软雅黑" w:cs="微软雅黑"/>
          <w:b/>
          <w:bCs/>
          <w:color w:val="auto"/>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6A0C1967"/>
    <w:multiLevelType w:val="singleLevel"/>
    <w:tmpl w:val="6A0C1967"/>
    <w:lvl w:ilvl="0" w:tentative="0">
      <w:start w:val="1"/>
      <w:numFmt w:val="chineseCounting"/>
      <w:suff w:val="nothing"/>
      <w:lvlText w:val="%1、"/>
      <w:lvlJc w:val="left"/>
      <w:rPr>
        <w:rFonts w:hint="eastAsia"/>
      </w:rPr>
    </w:lvl>
  </w:abstractNum>
  <w:abstractNum w:abstractNumId="5">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8A1140D"/>
    <w:rsid w:val="093425DC"/>
    <w:rsid w:val="0ACE2F1A"/>
    <w:rsid w:val="0BCB10E7"/>
    <w:rsid w:val="0CCE1C85"/>
    <w:rsid w:val="0CE72227"/>
    <w:rsid w:val="0D327D7E"/>
    <w:rsid w:val="0FC542BC"/>
    <w:rsid w:val="10C91248"/>
    <w:rsid w:val="17AC13E0"/>
    <w:rsid w:val="19276E4E"/>
    <w:rsid w:val="1FFD327D"/>
    <w:rsid w:val="22FE254E"/>
    <w:rsid w:val="25B24AA7"/>
    <w:rsid w:val="25F56E8C"/>
    <w:rsid w:val="289C091D"/>
    <w:rsid w:val="2B3C4F7D"/>
    <w:rsid w:val="2C2D5673"/>
    <w:rsid w:val="316428CD"/>
    <w:rsid w:val="343026DF"/>
    <w:rsid w:val="376D7251"/>
    <w:rsid w:val="38C27AC5"/>
    <w:rsid w:val="3920231B"/>
    <w:rsid w:val="3AED0143"/>
    <w:rsid w:val="3C5960AD"/>
    <w:rsid w:val="44C617AC"/>
    <w:rsid w:val="46792D6F"/>
    <w:rsid w:val="4E0E04BD"/>
    <w:rsid w:val="4F2264EB"/>
    <w:rsid w:val="50807F87"/>
    <w:rsid w:val="535B6468"/>
    <w:rsid w:val="566A1246"/>
    <w:rsid w:val="5A981717"/>
    <w:rsid w:val="5BAE5885"/>
    <w:rsid w:val="5CA92660"/>
    <w:rsid w:val="639725D3"/>
    <w:rsid w:val="645A78F7"/>
    <w:rsid w:val="67DE2AA1"/>
    <w:rsid w:val="693101F7"/>
    <w:rsid w:val="69DB79A1"/>
    <w:rsid w:val="6A296456"/>
    <w:rsid w:val="6CDE20F8"/>
    <w:rsid w:val="6F49145D"/>
    <w:rsid w:val="73CF7872"/>
    <w:rsid w:val="75301D6B"/>
    <w:rsid w:val="7803591E"/>
    <w:rsid w:val="7D601CAA"/>
    <w:rsid w:val="7E337FF0"/>
    <w:rsid w:val="7E3C5223"/>
    <w:rsid w:val="7F022873"/>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2019-02-19T07:24:46Z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