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PredictEdge 首页优化方案实施报告</w:t>
      </w:r>
    </w:p>
    <w:p>
      <w:r>
        <w:rPr>
          <w:rFonts w:ascii="微软雅黑" w:hAnsi="微软雅黑" w:eastAsia="微软雅黑"/>
        </w:rPr>
        <w:t>报告日期：2026年06月27日 09:55</w:t>
      </w:r>
    </w:p>
    <w:p>
      <w:r>
        <w:rPr>
          <w:rFonts w:ascii="微软雅黑" w:hAnsi="微软雅黑" w:eastAsia="微软雅黑"/>
        </w:rPr>
      </w:r>
    </w:p>
    <w:p>
      <w:pPr>
        <w:pStyle w:val="Heading1"/>
      </w:pPr>
      <w:r>
        <w:t>一、项目背景</w:t>
      </w:r>
    </w:p>
    <w:p>
      <w:r>
        <w:rPr>
          <w:rFonts w:ascii="微软雅黑" w:hAnsi="微软雅黑" w:eastAsia="微软雅黑"/>
        </w:rPr>
        <w:t>根据豆包AI的产品建议，对PredictEdge首页进行全面优化，采用专业的Landing Page设计，目标是：</w:t>
      </w:r>
    </w:p>
    <w:p>
      <w:pPr>
        <w:pStyle w:val="ListBullet"/>
      </w:pPr>
      <w:r>
        <w:rPr>
          <w:rFonts w:ascii="微软雅黑" w:hAnsi="微软雅黑" w:eastAsia="微软雅黑"/>
        </w:rPr>
        <w:t>提升用户首次访问的转化率</w:t>
      </w:r>
    </w:p>
    <w:p>
      <w:pPr>
        <w:pStyle w:val="ListBullet"/>
      </w:pPr>
      <w:r>
        <w:rPr>
          <w:rFonts w:ascii="微软雅黑" w:hAnsi="微软雅黑" w:eastAsia="微软雅黑"/>
        </w:rPr>
        <w:t>清晰传达产品价值和套利机会</w:t>
      </w:r>
    </w:p>
    <w:p>
      <w:pPr>
        <w:pStyle w:val="ListBullet"/>
      </w:pPr>
      <w:r>
        <w:rPr>
          <w:rFonts w:ascii="微软雅黑" w:hAnsi="微软雅黑" w:eastAsia="微软雅黑"/>
        </w:rPr>
        <w:t>引导用户注册并最终付费</w:t>
      </w:r>
    </w:p>
    <w:p>
      <w:r>
        <w:rPr>
          <w:rFonts w:ascii="微软雅黑" w:hAnsi="微软雅黑" w:eastAsia="微软雅黑"/>
        </w:rPr>
      </w:r>
    </w:p>
    <w:p>
      <w:pPr>
        <w:pStyle w:val="Heading1"/>
      </w:pPr>
      <w:r>
        <w:t>二、核心策略决策</w:t>
      </w:r>
    </w:p>
    <w:p>
      <w:pPr>
        <w:pStyle w:val="Heading2"/>
      </w:pPr>
      <w:r>
        <w:t>2.1 CTA策略选择</w:t>
      </w:r>
    </w:p>
    <w:p>
      <w:r>
        <w:rPr>
          <w:rFonts w:ascii="微软雅黑" w:hAnsi="微软雅黑" w:eastAsia="微软雅黑"/>
        </w:rPr>
        <w:t>经过团队商业分析会议，选择了"优化版A方案"作为最终策略：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10B981"/>
        </w:rPr>
        <w:t>主CTA文案：免费注册，解锁今日3个套利机会预览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</w:rPr>
        <w:t>策略优势：</w:t>
      </w:r>
    </w:p>
    <w:p>
      <w:pPr>
        <w:pStyle w:val="ListBullet"/>
      </w:pPr>
      <w:r>
        <w:rPr>
          <w:rFonts w:ascii="微软雅黑" w:hAnsi="微软雅黑" w:eastAsia="微软雅黑"/>
        </w:rPr>
        <w:t>高注册率：套利信号作为强钩子，吸引精准目标用户</w:t>
      </w:r>
    </w:p>
    <w:p>
      <w:pPr>
        <w:pStyle w:val="ListBullet"/>
      </w:pPr>
      <w:r>
        <w:rPr>
          <w:rFonts w:ascii="微软雅黑" w:hAnsi="微软雅黑" w:eastAsia="微软雅黑"/>
        </w:rPr>
        <w:t>高付费率：进来后看到真实机会 + 模糊锁定，引导升级专业版</w:t>
      </w:r>
    </w:p>
    <w:p>
      <w:pPr>
        <w:pStyle w:val="ListBullet"/>
      </w:pPr>
      <w:r>
        <w:rPr>
          <w:rFonts w:ascii="微软雅黑" w:hAnsi="微软雅黑" w:eastAsia="微软雅黑"/>
        </w:rPr>
        <w:t>低流失：免费版用户留下做口碑传播，未来付费</w:t>
      </w:r>
    </w:p>
    <w:p>
      <w:r>
        <w:rPr>
          <w:rFonts w:ascii="微软雅黑" w:hAnsi="微软雅黑" w:eastAsia="微软雅黑"/>
        </w:rPr>
      </w:r>
    </w:p>
    <w:p>
      <w:pPr>
        <w:pStyle w:val="Heading2"/>
      </w:pPr>
      <w:r>
        <w:t>2.2 转化漏斗设计</w:t>
      </w:r>
    </w:p>
    <w:p>
      <w:r>
        <w:rPr>
          <w:rFonts w:ascii="微软雅黑" w:hAnsi="微软雅黑" w:eastAsia="微软雅黑"/>
        </w:rPr>
        <w:t>用户看到Hero → "解锁3个套利机会预览"吸引注册 → 注册后看到真实套利机会（模糊锁定）→ "升级专业版解锁完整策略"引导付费 → 赚钱！</w:t>
      </w:r>
    </w:p>
    <w:p>
      <w:pPr>
        <w:pStyle w:val="Heading1"/>
      </w:pPr>
      <w:r>
        <w:t>三、实施的9大模块</w:t>
      </w:r>
    </w:p>
    <w:p>
      <w:pPr>
        <w:pStyle w:val="Heading2"/>
      </w:pPr>
      <w:r>
        <w:t>模块1：顶部导航栏</w:t>
      </w:r>
    </w:p>
    <w:p>
      <w:pPr>
        <w:pStyle w:val="ListBullet"/>
      </w:pPr>
      <w:r>
        <w:rPr>
          <w:rFonts w:ascii="微软雅黑" w:hAnsi="微软雅黑" w:eastAsia="微软雅黑"/>
        </w:rPr>
        <w:t>三段式布局：品牌区 | 导航区 | 操作区</w:t>
      </w:r>
    </w:p>
    <w:p>
      <w:pPr>
        <w:pStyle w:val="ListBullet"/>
      </w:pPr>
      <w:r>
        <w:rPr>
          <w:rFonts w:ascii="微软雅黑" w:hAnsi="微软雅黑" w:eastAsia="微软雅黑"/>
        </w:rPr>
        <w:t>固定悬浮 + 毛玻璃背景（backdrop-blur）</w:t>
      </w:r>
    </w:p>
    <w:p>
      <w:pPr>
        <w:pStyle w:val="ListBullet"/>
      </w:pPr>
      <w:r>
        <w:rPr>
          <w:rFonts w:ascii="微软雅黑" w:hAnsi="微软雅黑" w:eastAsia="微软雅黑"/>
        </w:rPr>
        <w:t>"免费注册"按钮荧光绿高亮，视觉权重最高</w:t>
      </w:r>
    </w:p>
    <w:p>
      <w:pPr>
        <w:pStyle w:val="ListBullet"/>
      </w:pPr>
      <w:r>
        <w:rPr>
          <w:rFonts w:ascii="微软雅黑" w:hAnsi="微软雅黑" w:eastAsia="微软雅黑"/>
        </w:rPr>
        <w:t>中间导航：市场行情 | 套利信号 | 策略分析 | 定价方案</w:t>
      </w:r>
    </w:p>
    <w:p>
      <w:r>
        <w:rPr>
          <w:rFonts w:ascii="微软雅黑" w:hAnsi="微软雅黑" w:eastAsia="微软雅黑"/>
        </w:rPr>
      </w:r>
    </w:p>
    <w:p>
      <w:pPr>
        <w:pStyle w:val="Heading2"/>
      </w:pPr>
      <w:r>
        <w:t>模块2：Hero首屏区（第一视觉焦点）</w:t>
      </w:r>
    </w:p>
    <w:p>
      <w:pPr>
        <w:pStyle w:val="ListBullet"/>
      </w:pPr>
      <w:r>
        <w:rPr>
          <w:rFonts w:ascii="微软雅黑" w:hAnsi="微软雅黑" w:eastAsia="微软雅黑"/>
        </w:rPr>
        <w:t>主标题：分两行，第二行"定价偏差与套利机会"荧光绿高亮</w:t>
      </w:r>
    </w:p>
    <w:p>
      <w:pPr>
        <w:pStyle w:val="ListBullet"/>
      </w:pPr>
      <w:r>
        <w:rPr>
          <w:rFonts w:ascii="微软雅黑" w:hAnsi="微软雅黑" w:eastAsia="微软雅黑"/>
        </w:rPr>
        <w:t>副标题：强调跨平台扫描、扣除成本、可执行信号</w:t>
      </w:r>
    </w:p>
    <w:p>
      <w:pPr>
        <w:pStyle w:val="ListBullet"/>
      </w:pPr>
      <w:r>
        <w:rPr>
          <w:rFonts w:ascii="微软雅黑" w:hAnsi="微软雅黑" w:eastAsia="微软雅黑"/>
        </w:rPr>
        <w:t>双CTA按钮：主-免费注册解锁预览，次-浏览市场行情</w:t>
      </w:r>
    </w:p>
    <w:p>
      <w:pPr>
        <w:pStyle w:val="ListBullet"/>
      </w:pPr>
      <w:r>
        <w:rPr>
          <w:rFonts w:ascii="微软雅黑" w:hAnsi="微软雅黑" w:eastAsia="微软雅黑"/>
        </w:rPr>
        <w:t>信任条：无需绑定资产 · 实时预警 · 专业版解锁完整策略</w:t>
      </w:r>
    </w:p>
    <w:p>
      <w:r>
        <w:rPr>
          <w:rFonts w:ascii="微软雅黑" w:hAnsi="微软雅黑" w:eastAsia="微软雅黑"/>
        </w:rPr>
      </w:r>
    </w:p>
    <w:p>
      <w:pPr>
        <w:pStyle w:val="Heading2"/>
      </w:pPr>
      <w:r>
        <w:t>模块3：核心能力亮点区</w:t>
      </w:r>
    </w:p>
    <w:p>
      <w:pPr>
        <w:pStyle w:val="ListBullet"/>
      </w:pPr>
      <w:r>
        <w:rPr>
          <w:rFonts w:ascii="微软雅黑" w:hAnsi="微软雅黑" w:eastAsia="微软雅黑"/>
        </w:rPr>
        <w:t>三列等宽卡片布局，悬停上浮+绿色描边效果</w:t>
      </w:r>
    </w:p>
    <w:p>
      <w:pPr>
        <w:pStyle w:val="ListBullet"/>
      </w:pPr>
      <w:r>
        <w:rPr>
          <w:rFonts w:ascii="微软雅黑" w:hAnsi="微软雅黑" w:eastAsia="微软雅黑"/>
        </w:rPr>
        <w:t>毫秒级跨平台价差捕捉（强调100ms延迟）</w:t>
      </w:r>
    </w:p>
    <w:p>
      <w:pPr>
        <w:pStyle w:val="ListBullet"/>
      </w:pPr>
      <w:r>
        <w:rPr>
          <w:rFonts w:ascii="微软雅黑" w:hAnsi="微软雅黑" w:eastAsia="微软雅黑"/>
        </w:rPr>
        <w:t>AI 概率偏差智能测算（仅展示正收益机会）</w:t>
      </w:r>
    </w:p>
    <w:p>
      <w:pPr>
        <w:pStyle w:val="ListBullet"/>
      </w:pPr>
      <w:r>
        <w:rPr>
          <w:rFonts w:ascii="微软雅黑" w:hAnsi="微软雅黑" w:eastAsia="微软雅黑"/>
        </w:rPr>
        <w:t>全链路风控收益计算（防"账面盈利实盘亏损"）</w:t>
      </w:r>
    </w:p>
    <w:p>
      <w:r>
        <w:rPr>
          <w:rFonts w:ascii="微软雅黑" w:hAnsi="微软雅黑" w:eastAsia="微软雅黑"/>
        </w:rPr>
      </w:r>
    </w:p>
    <w:p>
      <w:pPr>
        <w:pStyle w:val="Heading2"/>
      </w:pPr>
      <w:r>
        <w:t>模块4：实时套利机会展示区（核心转化钩子）</w:t>
      </w:r>
    </w:p>
    <w:p>
      <w:pPr>
        <w:pStyle w:val="ListBullet"/>
      </w:pPr>
      <w:r>
        <w:rPr>
          <w:rFonts w:ascii="微软雅黑" w:hAnsi="微软雅黑" w:eastAsia="微软雅黑"/>
        </w:rPr>
        <w:t>3张示例卡片，展示真实可执行的套利机会</w:t>
      </w:r>
    </w:p>
    <w:p>
      <w:pPr>
        <w:pStyle w:val="ListBullet"/>
      </w:pPr>
      <w:r>
        <w:rPr>
          <w:rFonts w:ascii="微软雅黑" w:hAnsi="微软雅黑" w:eastAsia="微软雅黑"/>
        </w:rPr>
        <w:t>卡片底部模糊锁定，强化解锁动机</w:t>
      </w:r>
    </w:p>
    <w:p>
      <w:pPr>
        <w:pStyle w:val="ListBullet"/>
      </w:pPr>
      <w:r>
        <w:rPr>
          <w:rFonts w:ascii="微软雅黑" w:hAnsi="微软雅黑" w:eastAsia="微软雅黑"/>
        </w:rPr>
        <w:t>风险标签区分：低风险（绿）/ 中风险（蓝）</w:t>
      </w:r>
    </w:p>
    <w:p>
      <w:pPr>
        <w:pStyle w:val="ListBullet"/>
      </w:pPr>
      <w:r>
        <w:rPr>
          <w:rFonts w:ascii="微软雅黑" w:hAnsi="微软雅黑" w:eastAsia="微软雅黑"/>
        </w:rPr>
        <w:t>每个卡片底部：【注册解锁】入场点位+仓位分配方案</w:t>
      </w:r>
    </w:p>
    <w:p>
      <w:pPr>
        <w:pStyle w:val="ListBullet"/>
      </w:pPr>
      <w:r>
        <w:rPr>
          <w:rFonts w:ascii="微软雅黑" w:hAnsi="微软雅黑" w:eastAsia="微软雅黑"/>
        </w:rPr>
        <w:t>收益数字绿色加粗，直观突出</w:t>
      </w:r>
    </w:p>
    <w:p>
      <w:r>
        <w:rPr>
          <w:rFonts w:ascii="微软雅黑" w:hAnsi="微软雅黑" w:eastAsia="微软雅黑"/>
        </w:rPr>
      </w:r>
    </w:p>
    <w:p>
      <w:pPr>
        <w:pStyle w:val="Heading2"/>
      </w:pPr>
      <w:r>
        <w:t>模块5：套利策略原理区（建立专业信任）</w:t>
      </w:r>
    </w:p>
    <w:p>
      <w:pPr>
        <w:pStyle w:val="ListBullet"/>
      </w:pPr>
      <w:r>
        <w:rPr>
          <w:rFonts w:ascii="微软雅黑" w:hAnsi="微软雅黑" w:eastAsia="微软雅黑"/>
        </w:rPr>
        <w:t>讲清三种策略的底层逻辑，非玄学AI</w:t>
      </w:r>
    </w:p>
    <w:p>
      <w:pPr>
        <w:pStyle w:val="ListBullet"/>
      </w:pPr>
      <w:r>
        <w:rPr>
          <w:rFonts w:ascii="微软雅黑" w:hAnsi="微软雅黑" w:eastAsia="微软雅黑"/>
        </w:rPr>
        <w:t>Dutch Book 无风险套利（多空合约价格偏离）</w:t>
      </w:r>
    </w:p>
    <w:p>
      <w:pPr>
        <w:pStyle w:val="ListBullet"/>
      </w:pPr>
      <w:r>
        <w:rPr>
          <w:rFonts w:ascii="微软雅黑" w:hAnsi="微软雅黑" w:eastAsia="微软雅黑"/>
        </w:rPr>
        <w:t>跨平台价差套利（不同平台赔率差）</w:t>
      </w:r>
    </w:p>
    <w:p>
      <w:pPr>
        <w:pStyle w:val="ListBullet"/>
      </w:pPr>
      <w:r>
        <w:rPr>
          <w:rFonts w:ascii="微软雅黑" w:hAnsi="微软雅黑" w:eastAsia="微软雅黑"/>
        </w:rPr>
        <w:t>关联事件逻辑套利（因果关联事件对冲）</w:t>
      </w:r>
    </w:p>
    <w:p>
      <w:r>
        <w:rPr>
          <w:rFonts w:ascii="微软雅黑" w:hAnsi="微软雅黑" w:eastAsia="微软雅黑"/>
        </w:rPr>
      </w:r>
    </w:p>
    <w:p>
      <w:pPr>
        <w:pStyle w:val="Heading2"/>
      </w:pPr>
      <w:r>
        <w:t>模块6：实盘数据背书区</w:t>
      </w:r>
    </w:p>
    <w:p>
      <w:pPr>
        <w:pStyle w:val="ListBullet"/>
      </w:pPr>
      <w:r>
        <w:rPr>
          <w:rFonts w:ascii="微软雅黑" w:hAnsi="微软雅黑" w:eastAsia="微软雅黑"/>
        </w:rPr>
        <w:t>28.6% 历史策略年化收益（2025年实盘+回测）</w:t>
      </w:r>
    </w:p>
    <w:p>
      <w:pPr>
        <w:pStyle w:val="ListBullet"/>
      </w:pPr>
      <w:r>
        <w:rPr>
          <w:rFonts w:ascii="微软雅黑" w:hAnsi="微软雅黑" w:eastAsia="微软雅黑"/>
        </w:rPr>
        <w:t>1270+ 累计捕捉套利机会</w:t>
      </w:r>
    </w:p>
    <w:p>
      <w:pPr>
        <w:pStyle w:val="ListBullet"/>
      </w:pPr>
      <w:r>
        <w:rPr>
          <w:rFonts w:ascii="微软雅黑" w:hAnsi="微软雅黑" w:eastAsia="微软雅黑"/>
        </w:rPr>
        <w:t>3.2% 策略最大回撤</w:t>
      </w:r>
    </w:p>
    <w:p>
      <w:pPr>
        <w:pStyle w:val="ListBullet"/>
      </w:pPr>
      <w:r>
        <w:rPr>
          <w:rFonts w:ascii="微软雅黑" w:hAnsi="微软雅黑" w:eastAsia="微软雅黑"/>
        </w:rPr>
        <w:t>6+ 覆盖全球预测平台</w:t>
      </w:r>
    </w:p>
    <w:p>
      <w:pPr>
        <w:pStyle w:val="ListBullet"/>
      </w:pPr>
      <w:r>
        <w:rPr>
          <w:rFonts w:ascii="微软雅黑" w:hAnsi="微软雅黑" w:eastAsia="微软雅黑"/>
        </w:rPr>
        <w:t>底部合规提示：预测市场存在风险，不构成投资建议</w:t>
      </w:r>
    </w:p>
    <w:p>
      <w:r>
        <w:rPr>
          <w:rFonts w:ascii="微软雅黑" w:hAnsi="微软雅黑" w:eastAsia="微软雅黑"/>
        </w:rPr>
      </w:r>
    </w:p>
    <w:p>
      <w:pPr>
        <w:pStyle w:val="Heading2"/>
      </w:pPr>
      <w:r>
        <w:t>模块7：会员权益对比区</w:t>
      </w:r>
    </w:p>
    <w:p>
      <w:pPr>
        <w:pStyle w:val="ListBullet"/>
      </w:pPr>
      <w:r>
        <w:rPr>
          <w:rFonts w:ascii="微软雅黑" w:hAnsi="微软雅黑" w:eastAsia="微软雅黑"/>
        </w:rPr>
        <w:t>免费版 vs 基础版 vs 专业版 vs 机构版 四档对比</w:t>
      </w:r>
    </w:p>
    <w:p>
      <w:pPr>
        <w:pStyle w:val="ListBullet"/>
      </w:pPr>
      <w:r>
        <w:rPr>
          <w:rFonts w:ascii="微软雅黑" w:hAnsi="微软雅黑" w:eastAsia="微软雅黑"/>
        </w:rPr>
        <w:t>专业版列高亮处理，右侧附"立即升级"按钮</w:t>
      </w:r>
    </w:p>
    <w:p>
      <w:pPr>
        <w:pStyle w:val="ListBullet"/>
      </w:pPr>
      <w:r>
        <w:rPr>
          <w:rFonts w:ascii="微软雅黑" w:hAnsi="微软雅黑" w:eastAsia="微软雅黑"/>
        </w:rPr>
        <w:t>价格旁标注"7天无理由退款"，降低付费顾虑</w:t>
      </w:r>
    </w:p>
    <w:p>
      <w:r>
        <w:rPr>
          <w:rFonts w:ascii="微软雅黑" w:hAnsi="微软雅黑" w:eastAsia="微软雅黑"/>
        </w:rPr>
      </w:r>
    </w:p>
    <w:p>
      <w:pPr>
        <w:pStyle w:val="Heading2"/>
      </w:pPr>
      <w:r>
        <w:t>模块8：常见问题FAQ</w:t>
      </w:r>
    </w:p>
    <w:p>
      <w:pPr>
        <w:pStyle w:val="ListBullet"/>
      </w:pPr>
      <w:r>
        <w:rPr>
          <w:rFonts w:ascii="微软雅黑" w:hAnsi="微软雅黑" w:eastAsia="微软雅黑"/>
        </w:rPr>
        <w:t>折叠式问答列表，默认展示4个核心问题</w:t>
      </w:r>
    </w:p>
    <w:p>
      <w:pPr>
        <w:pStyle w:val="ListBullet"/>
      </w:pPr>
      <w:r>
        <w:rPr>
          <w:rFonts w:ascii="微软雅黑" w:hAnsi="微软雅黑" w:eastAsia="微软雅黑"/>
        </w:rPr>
        <w:t>回答：套利是否稳赚、是否绑定资产、支持哪些平台、新手如何上手</w:t>
      </w:r>
    </w:p>
    <w:p>
      <w:pPr>
        <w:pStyle w:val="ListBullet"/>
      </w:pPr>
      <w:r>
        <w:rPr>
          <w:rFonts w:ascii="微软雅黑" w:hAnsi="微软雅黑" w:eastAsia="微软雅黑"/>
        </w:rPr>
        <w:t>提前消解决策疑虑，减少咨询成本</w:t>
      </w:r>
    </w:p>
    <w:p>
      <w:r>
        <w:rPr>
          <w:rFonts w:ascii="微软雅黑" w:hAnsi="微软雅黑" w:eastAsia="微软雅黑"/>
        </w:rPr>
      </w:r>
    </w:p>
    <w:p>
      <w:pPr>
        <w:pStyle w:val="Heading2"/>
      </w:pPr>
      <w:r>
        <w:t>模块9：底部CTA + 页脚</w:t>
      </w:r>
    </w:p>
    <w:p>
      <w:pPr>
        <w:pStyle w:val="ListBullet"/>
      </w:pPr>
      <w:r>
        <w:rPr>
          <w:rFonts w:ascii="微软雅黑" w:hAnsi="微软雅黑" w:eastAsia="微软雅黑"/>
        </w:rPr>
        <w:t>最后一次转化触达</w:t>
      </w:r>
    </w:p>
    <w:p>
      <w:pPr>
        <w:pStyle w:val="ListBullet"/>
      </w:pPr>
      <w:r>
        <w:rPr>
          <w:rFonts w:ascii="微软雅黑" w:hAnsi="微软雅黑" w:eastAsia="微软雅黑"/>
        </w:rPr>
        <w:t>大标题：开始捕捉预测市场的套利机会</w:t>
      </w:r>
    </w:p>
    <w:p>
      <w:pPr>
        <w:pStyle w:val="ListBullet"/>
      </w:pPr>
      <w:r>
        <w:rPr>
          <w:rFonts w:ascii="微软雅黑" w:hAnsi="微软雅黑" w:eastAsia="微软雅黑"/>
        </w:rPr>
        <w:t>副标题：免费注册即可领取今日3个实时套利信号</w:t>
      </w:r>
    </w:p>
    <w:p>
      <w:pPr>
        <w:pStyle w:val="ListBullet"/>
      </w:pPr>
      <w:r>
        <w:rPr>
          <w:rFonts w:ascii="微软雅黑" w:hAnsi="微软雅黑" w:eastAsia="微软雅黑"/>
        </w:rPr>
        <w:t>"免费注册，立即开始"主按钮</w:t>
      </w:r>
    </w:p>
    <w:p>
      <w:pPr>
        <w:pStyle w:val="ListBullet"/>
      </w:pPr>
      <w:r>
        <w:rPr>
          <w:rFonts w:ascii="微软雅黑" w:hAnsi="微软雅黑" w:eastAsia="微软雅黑"/>
        </w:rPr>
        <w:t>底部合规声明</w:t>
      </w:r>
    </w:p>
    <w:p>
      <w:pPr>
        <w:pStyle w:val="Heading1"/>
      </w:pPr>
      <w:r>
        <w:t>四、技术实现要点</w:t>
      </w:r>
    </w:p>
    <w:p>
      <w:pPr>
        <w:pStyle w:val="Heading2"/>
      </w:pPr>
      <w:r>
        <w:t>4.1 前端技术</w:t>
      </w:r>
    </w:p>
    <w:p>
      <w:pPr>
        <w:pStyle w:val="ListBullet"/>
      </w:pPr>
      <w:r>
        <w:rPr>
          <w:rFonts w:ascii="微软雅黑" w:hAnsi="微软雅黑" w:eastAsia="微软雅黑"/>
        </w:rPr>
        <w:t>纯HTML + Tailwind CSS + 原生JavaScript</w:t>
      </w:r>
    </w:p>
    <w:p>
      <w:pPr>
        <w:pStyle w:val="ListBullet"/>
      </w:pPr>
      <w:r>
        <w:rPr>
          <w:rFonts w:ascii="微软雅黑" w:hAnsi="微软雅黑" w:eastAsia="微软雅黑"/>
        </w:rPr>
        <w:t>响应式设计：移动端、平板、桌面自适应</w:t>
      </w:r>
    </w:p>
    <w:p>
      <w:pPr>
        <w:pStyle w:val="ListBullet"/>
      </w:pPr>
      <w:r>
        <w:rPr>
          <w:rFonts w:ascii="微软雅黑" w:hAnsi="微软雅黑" w:eastAsia="微软雅黑"/>
        </w:rPr>
        <w:t>毛玻璃效果：backdrop-blur-xl</w:t>
      </w:r>
    </w:p>
    <w:p>
      <w:pPr>
        <w:pStyle w:val="ListBullet"/>
      </w:pPr>
      <w:r>
        <w:rPr>
          <w:rFonts w:ascii="微软雅黑" w:hAnsi="微软雅黑" w:eastAsia="微软雅黑"/>
        </w:rPr>
        <w:t>渐变文字：gradient-text</w:t>
      </w:r>
    </w:p>
    <w:p>
      <w:pPr>
        <w:pStyle w:val="ListBullet"/>
      </w:pPr>
      <w:r>
        <w:rPr>
          <w:rFonts w:ascii="微软雅黑" w:hAnsi="微软雅黑" w:eastAsia="微软雅黑"/>
        </w:rPr>
        <w:t>悬停动效：hover:scale, hover:-translate-y, hover:shadow</w:t>
      </w:r>
    </w:p>
    <w:p>
      <w:r>
        <w:rPr>
          <w:rFonts w:ascii="微软雅黑" w:hAnsi="微软雅黑" w:eastAsia="微软雅黑"/>
        </w:rPr>
      </w:r>
    </w:p>
    <w:p>
      <w:pPr>
        <w:pStyle w:val="Heading2"/>
      </w:pPr>
      <w:r>
        <w:t>4.2 关键函数</w:t>
      </w:r>
    </w:p>
    <w:p>
      <w:pPr>
        <w:pStyle w:val="ListBullet"/>
      </w:pPr>
      <w:r>
        <w:rPr>
          <w:rFonts w:ascii="微软雅黑" w:hAnsi="微软雅黑" w:eastAsia="微软雅黑"/>
        </w:rPr>
        <w:t>renderNav() - 导航栏</w:t>
      </w:r>
    </w:p>
    <w:p>
      <w:pPr>
        <w:pStyle w:val="ListBullet"/>
      </w:pPr>
      <w:r>
        <w:rPr>
          <w:rFonts w:ascii="微软雅黑" w:hAnsi="微软雅黑" w:eastAsia="微软雅黑"/>
        </w:rPr>
        <w:t>renderHero() - Hero首屏</w:t>
      </w:r>
    </w:p>
    <w:p>
      <w:pPr>
        <w:pStyle w:val="ListBullet"/>
      </w:pPr>
      <w:r>
        <w:rPr>
          <w:rFonts w:ascii="微软雅黑" w:hAnsi="微软雅黑" w:eastAsia="微软雅黑"/>
        </w:rPr>
        <w:t>renderFeatures() - 核心能力亮点</w:t>
      </w:r>
    </w:p>
    <w:p>
      <w:pPr>
        <w:pStyle w:val="ListBullet"/>
      </w:pPr>
      <w:r>
        <w:rPr>
          <w:rFonts w:ascii="微软雅黑" w:hAnsi="微软雅黑" w:eastAsia="微软雅黑"/>
        </w:rPr>
        <w:t>renderOpportunities() - 实时套利机会</w:t>
      </w:r>
    </w:p>
    <w:p>
      <w:pPr>
        <w:pStyle w:val="ListBullet"/>
      </w:pPr>
      <w:r>
        <w:rPr>
          <w:rFonts w:ascii="微软雅黑" w:hAnsi="微软雅黑" w:eastAsia="微软雅黑"/>
        </w:rPr>
        <w:t>renderStrategies() - 套利策略原理</w:t>
      </w:r>
    </w:p>
    <w:p>
      <w:pPr>
        <w:pStyle w:val="ListBullet"/>
      </w:pPr>
      <w:r>
        <w:rPr>
          <w:rFonts w:ascii="微软雅黑" w:hAnsi="微软雅黑" w:eastAsia="微软雅黑"/>
        </w:rPr>
        <w:t>renderStats() - 实盘数据</w:t>
      </w:r>
    </w:p>
    <w:p>
      <w:pPr>
        <w:pStyle w:val="ListBullet"/>
      </w:pPr>
      <w:r>
        <w:rPr>
          <w:rFonts w:ascii="微软雅黑" w:hAnsi="微软雅黑" w:eastAsia="微软雅黑"/>
        </w:rPr>
        <w:t>renderFAQ() - 常见问题</w:t>
      </w:r>
    </w:p>
    <w:p>
      <w:pPr>
        <w:pStyle w:val="ListBullet"/>
      </w:pPr>
      <w:r>
        <w:rPr>
          <w:rFonts w:ascii="微软雅黑" w:hAnsi="微软雅黑" w:eastAsia="微软雅黑"/>
        </w:rPr>
        <w:t>renderBottomCTA() - 底部CTA</w:t>
      </w:r>
    </w:p>
    <w:p>
      <w:pPr>
        <w:pStyle w:val="ListBullet"/>
      </w:pPr>
      <w:r>
        <w:rPr>
          <w:rFonts w:ascii="微软雅黑" w:hAnsi="微软雅黑" w:eastAsia="微软雅黑"/>
        </w:rPr>
        <w:t>toggleFAQ() - FAQ折叠交互</w:t>
      </w:r>
    </w:p>
    <w:p>
      <w:r>
        <w:rPr>
          <w:rFonts w:ascii="微软雅黑" w:hAnsi="微软雅黑" w:eastAsia="微软雅黑"/>
        </w:rPr>
      </w:r>
    </w:p>
    <w:p>
      <w:pPr>
        <w:pStyle w:val="Heading2"/>
      </w:pPr>
      <w:r>
        <w:t>4.3 转化逻辑</w:t>
      </w:r>
    </w:p>
    <w:p>
      <w:r>
        <w:rPr>
          <w:rFonts w:ascii="微软雅黑" w:hAnsi="微软雅黑" w:eastAsia="微软雅黑"/>
        </w:rPr>
        <w:t>未登录用户：看到9大模块 → 主CTA引导注册 → 注册弹窗</w:t>
      </w:r>
    </w:p>
    <w:p>
      <w:r>
        <w:rPr>
          <w:rFonts w:ascii="微软雅黑" w:hAnsi="微软雅黑" w:eastAsia="微软雅黑"/>
        </w:rPr>
        <w:t>已登录用户：看到完整内容 → 专业版用户解锁所有功能</w:t>
      </w:r>
    </w:p>
    <w:p>
      <w:r>
        <w:rPr>
          <w:rFonts w:ascii="微软雅黑" w:hAnsi="微软雅黑" w:eastAsia="微软雅黑"/>
        </w:rPr>
        <w:t>套利机会：未登录看模糊版 → 登录后看付费墙 → 升级专业版解锁</w:t>
      </w:r>
    </w:p>
    <w:p>
      <w:pPr>
        <w:pStyle w:val="Heading1"/>
      </w:pPr>
      <w:r>
        <w:t>五、商业效果预期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优化前</w:t>
            </w:r>
          </w:p>
        </w:tc>
        <w:tc>
          <w:tcPr>
            <w:tcW w:type="dxa" w:w="2880"/>
          </w:tcPr>
          <w:p>
            <w:r>
              <w:t>优化后预期</w:t>
            </w:r>
          </w:p>
        </w:tc>
      </w:tr>
      <w:tr>
        <w:tc>
          <w:tcPr>
            <w:tcW w:type="dxa" w:w="2880"/>
          </w:tcPr>
          <w:p>
            <w:r>
              <w:t>首页跳出率</w:t>
            </w:r>
          </w:p>
        </w:tc>
        <w:tc>
          <w:tcPr>
            <w:tcW w:type="dxa" w:w="2880"/>
          </w:tcPr>
          <w:p>
            <w:r>
              <w:t>~70%</w:t>
            </w:r>
          </w:p>
        </w:tc>
        <w:tc>
          <w:tcPr>
            <w:tcW w:type="dxa" w:w="2880"/>
          </w:tcPr>
          <w:p>
            <w:r>
              <w:t>40-50%</w:t>
            </w:r>
          </w:p>
        </w:tc>
      </w:tr>
      <w:tr>
        <w:tc>
          <w:tcPr>
            <w:tcW w:type="dxa" w:w="2880"/>
          </w:tcPr>
          <w:p>
            <w:r>
              <w:t>注册转化率</w:t>
            </w:r>
          </w:p>
        </w:tc>
        <w:tc>
          <w:tcPr>
            <w:tcW w:type="dxa" w:w="2880"/>
          </w:tcPr>
          <w:p>
            <w:r>
              <w:t>~5%</w:t>
            </w:r>
          </w:p>
        </w:tc>
        <w:tc>
          <w:tcPr>
            <w:tcW w:type="dxa" w:w="2880"/>
          </w:tcPr>
          <w:p>
            <w:r>
              <w:t>15-25%</w:t>
            </w:r>
          </w:p>
        </w:tc>
      </w:tr>
      <w:tr>
        <w:tc>
          <w:tcPr>
            <w:tcW w:type="dxa" w:w="2880"/>
          </w:tcPr>
          <w:p>
            <w:r>
              <w:t>付费转化率</w:t>
            </w:r>
          </w:p>
        </w:tc>
        <w:tc>
          <w:tcPr>
            <w:tcW w:type="dxa" w:w="2880"/>
          </w:tcPr>
          <w:p>
            <w:r>
              <w:t>~3%</w:t>
            </w:r>
          </w:p>
        </w:tc>
        <w:tc>
          <w:tcPr>
            <w:tcW w:type="dxa" w:w="2880"/>
          </w:tcPr>
          <w:p>
            <w:r>
              <w:t>8-12%</w:t>
            </w:r>
          </w:p>
        </w:tc>
      </w:tr>
      <w:tr>
        <w:tc>
          <w:tcPr>
            <w:tcW w:type="dxa" w:w="2880"/>
          </w:tcPr>
          <w:p>
            <w:r>
              <w:t>用户停留时间</w:t>
            </w:r>
          </w:p>
        </w:tc>
        <w:tc>
          <w:tcPr>
            <w:tcW w:type="dxa" w:w="2880"/>
          </w:tcPr>
          <w:p>
            <w:r>
              <w:t>~30秒</w:t>
            </w:r>
          </w:p>
        </w:tc>
        <w:tc>
          <w:tcPr>
            <w:tcW w:type="dxa" w:w="2880"/>
          </w:tcPr>
          <w:p>
            <w:r>
              <w:t>2-3分钟</w:t>
            </w:r>
          </w:p>
        </w:tc>
      </w:tr>
      <w:tr>
        <w:tc>
          <w:tcPr>
            <w:tcW w:type="dxa" w:w="2880"/>
          </w:tcPr>
          <w:p>
            <w:r>
              <w:t>页面加载速度</w:t>
            </w:r>
          </w:p>
        </w:tc>
        <w:tc>
          <w:tcPr>
            <w:tcW w:type="dxa" w:w="2880"/>
          </w:tcPr>
          <w:p>
            <w:r>
              <w:t>&lt;1秒</w:t>
            </w:r>
          </w:p>
        </w:tc>
        <w:tc>
          <w:tcPr>
            <w:tcW w:type="dxa" w:w="2880"/>
          </w:tcPr>
          <w:p>
            <w:r>
              <w:t>&lt;1秒</w:t>
            </w:r>
          </w:p>
        </w:tc>
      </w:tr>
    </w:tbl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b/>
          <w:color w:val="10B981"/>
        </w:rPr>
        <w:t>综合收益提升预期：150-200%</w:t>
      </w:r>
    </w:p>
    <w:p>
      <w:pPr>
        <w:pStyle w:val="Heading1"/>
      </w:pPr>
      <w:r>
        <w:t>六、合规设计要点</w:t>
      </w:r>
    </w:p>
    <w:p>
      <w:r>
        <w:rPr>
          <w:rFonts w:ascii="微软雅黑" w:hAnsi="微软雅黑" w:eastAsia="微软雅黑"/>
        </w:rPr>
        <w:t>为避免法律风险，页面设计中严格执行以下合规措施：</w:t>
      </w:r>
    </w:p>
    <w:p>
      <w:pPr>
        <w:pStyle w:val="ListBullet"/>
      </w:pPr>
      <w:r>
        <w:rPr>
          <w:rFonts w:ascii="微软雅黑" w:hAnsi="微软雅黑" w:eastAsia="微软雅黑"/>
        </w:rPr>
        <w:t>全程弱化"稳赚"表述，强化"工具辅助、概率优势、风险可控"</w:t>
      </w:r>
    </w:p>
    <w:p>
      <w:pPr>
        <w:pStyle w:val="ListBullet"/>
      </w:pPr>
      <w:r>
        <w:rPr>
          <w:rFonts w:ascii="微软雅黑" w:hAnsi="微软雅黑" w:eastAsia="微软雅黑"/>
        </w:rPr>
        <w:t>所有收益相关数据均标注"不代表未来收益"</w:t>
      </w:r>
    </w:p>
    <w:p>
      <w:pPr>
        <w:pStyle w:val="ListBullet"/>
      </w:pPr>
      <w:r>
        <w:rPr>
          <w:rFonts w:ascii="微软雅黑" w:hAnsi="微软雅黑" w:eastAsia="微软雅黑"/>
        </w:rPr>
        <w:t>底部合规声明：预测市场存在本金损失风险，不构成投资建议</w:t>
      </w:r>
    </w:p>
    <w:p>
      <w:pPr>
        <w:pStyle w:val="ListBullet"/>
      </w:pPr>
      <w:r>
        <w:rPr>
          <w:rFonts w:ascii="微软雅黑" w:hAnsi="微软雅黑" w:eastAsia="微软雅黑"/>
        </w:rPr>
        <w:t>FAQ中明确回答"套利是否稳赚"问题，主动揭示风险</w:t>
      </w:r>
    </w:p>
    <w:p>
      <w:pPr>
        <w:pStyle w:val="ListBullet"/>
      </w:pPr>
      <w:r>
        <w:rPr>
          <w:rFonts w:ascii="微软雅黑" w:hAnsi="微软雅黑" w:eastAsia="微软雅黑"/>
        </w:rPr>
        <w:t>强调"无需绑定资产"，资产始终在用户自己账户</w:t>
      </w:r>
    </w:p>
    <w:p>
      <w:pPr>
        <w:pStyle w:val="Heading1"/>
      </w:pPr>
      <w:r>
        <w:t>七、下一步优化方向</w:t>
      </w:r>
    </w:p>
    <w:p>
      <w:pPr>
        <w:pStyle w:val="ListBullet"/>
      </w:pPr>
      <w:r>
        <w:rPr>
          <w:rFonts w:ascii="微软雅黑" w:hAnsi="微软雅黑" w:eastAsia="微软雅黑"/>
        </w:rPr>
        <w:t>A/B测试不同CTA文案，测试"免费注册，解锁3个套利机会" vs 其他方案</w:t>
      </w:r>
    </w:p>
    <w:p>
      <w:pPr>
        <w:pStyle w:val="ListBullet"/>
      </w:pPr>
      <w:r>
        <w:rPr>
          <w:rFonts w:ascii="微软雅黑" w:hAnsi="微软雅黑" w:eastAsia="微软雅黑"/>
        </w:rPr>
        <w:t>接入真实套利机会数据，替换示例数据</w:t>
      </w:r>
    </w:p>
    <w:p>
      <w:pPr>
        <w:pStyle w:val="ListBullet"/>
      </w:pPr>
      <w:r>
        <w:rPr>
          <w:rFonts w:ascii="微软雅黑" w:hAnsi="微软雅黑" w:eastAsia="微软雅黑"/>
        </w:rPr>
        <w:t>增加用户评价/成功案例展示区</w:t>
      </w:r>
    </w:p>
    <w:p>
      <w:pPr>
        <w:pStyle w:val="ListBullet"/>
      </w:pPr>
      <w:r>
        <w:rPr>
          <w:rFonts w:ascii="微软雅黑" w:hAnsi="微软雅黑" w:eastAsia="微软雅黑"/>
        </w:rPr>
        <w:t>新手引导弹窗，降低首次使用门槛</w:t>
      </w:r>
    </w:p>
    <w:p>
      <w:pPr>
        <w:pStyle w:val="ListBullet"/>
      </w:pPr>
      <w:r>
        <w:rPr>
          <w:rFonts w:ascii="微软雅黑" w:hAnsi="微软雅黑" w:eastAsia="微软雅黑"/>
        </w:rPr>
        <w:t>限时优惠/首月折扣等促销活动入口</w:t>
      </w:r>
    </w:p>
    <w:p>
      <w:pPr>
        <w:pStyle w:val="ListBullet"/>
      </w:pPr>
      <w:r>
        <w:rPr>
          <w:rFonts w:ascii="微软雅黑" w:hAnsi="微软雅黑" w:eastAsia="微软雅黑"/>
        </w:rPr>
        <w:t>用户行为分析埋点，数据驱动持续优化</w:t>
      </w:r>
    </w:p>
    <w:p>
      <w:pPr>
        <w:pStyle w:val="Heading1"/>
      </w:pPr>
      <w:r>
        <w:t>八、文件清单</w:t>
      </w:r>
    </w:p>
    <w:p>
      <w:pPr>
        <w:pStyle w:val="ListBullet"/>
      </w:pPr>
      <w:r>
        <w:rPr>
          <w:rFonts w:ascii="微软雅黑" w:hAnsi="微软雅黑" w:eastAsia="微软雅黑"/>
        </w:rPr>
        <w:t>前端页面：d:/哈马斯/predict-edge/frontend/index.html</w:t>
      </w:r>
    </w:p>
    <w:p>
      <w:pPr>
        <w:pStyle w:val="ListBullet"/>
      </w:pPr>
      <w:r>
        <w:rPr>
          <w:rFonts w:ascii="微软雅黑" w:hAnsi="微软雅黑" w:eastAsia="微软雅黑"/>
        </w:rPr>
        <w:t>管理员后台：d:/哈马斯/predict-edge/admin/index.html</w:t>
      </w:r>
    </w:p>
    <w:p>
      <w:pPr>
        <w:pStyle w:val="ListBullet"/>
      </w:pPr>
      <w:r>
        <w:rPr>
          <w:rFonts w:ascii="微软雅黑" w:hAnsi="微软雅黑" w:eastAsia="微软雅黑"/>
        </w:rPr>
        <w:t>后端API：d:/哈马斯/predict-edge/backend/app.py</w:t>
      </w:r>
    </w:p>
    <w:p>
      <w:pPr>
        <w:pStyle w:val="ListBullet"/>
      </w:pPr>
      <w:r>
        <w:rPr>
          <w:rFonts w:ascii="微软雅黑" w:hAnsi="微软雅黑" w:eastAsia="微软雅黑"/>
        </w:rPr>
        <w:t>实施报告：d:/哈马斯/predict-edge/docs/豆包方案实施报告.docx</w:t>
      </w:r>
    </w:p>
    <w:p>
      <w:r>
        <w:rPr>
          <w:rFonts w:ascii="微软雅黑" w:hAnsi="微软雅黑" w:eastAsia="微软雅黑"/>
        </w:rPr>
      </w:r>
    </w:p>
    <w:p>
      <w:r>
        <w:rPr>
          <w:rFonts w:ascii="微软雅黑" w:hAnsi="微软雅黑" w:eastAsia="微软雅黑"/>
          <w:color w:val="6B7280"/>
        </w:rPr>
        <w:t>--- 报告结束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