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PredictEdge 管理员使用手册</w:t>
      </w:r>
    </w:p>
    <w:p>
      <w:r>
        <w:rPr>
          <w:rFonts w:ascii="微软雅黑" w:hAnsi="微软雅黑" w:eastAsia="微软雅黑"/>
        </w:rPr>
        <w:t>后台管理操作指南 - 仅供内部使用</w:t>
      </w:r>
    </w:p>
    <w:p>
      <w:r>
        <w:rPr>
          <w:rFonts w:ascii="微软雅黑" w:hAnsi="微软雅黑" w:eastAsia="微软雅黑"/>
        </w:rPr>
        <w:t>版本：v2.0</w:t>
      </w:r>
    </w:p>
    <w:p>
      <w:r>
        <w:rPr>
          <w:rFonts w:ascii="微软雅黑" w:hAnsi="微软雅黑" w:eastAsia="微软雅黑"/>
        </w:rPr>
        <w:t>日期：2026年6月27日</w:t>
      </w:r>
    </w:p>
    <w:p>
      <w:r>
        <w:rPr>
          <w:rFonts w:ascii="微软雅黑" w:hAnsi="微软雅黑" w:eastAsia="微软雅黑"/>
        </w:rPr>
      </w:r>
    </w:p>
    <w:p>
      <w:pPr>
        <w:pStyle w:val="Heading1"/>
      </w:pPr>
      <w:r>
        <w:t>一、快速入门</w:t>
      </w:r>
    </w:p>
    <w:p>
      <w:pPr>
        <w:pStyle w:val="Heading2"/>
      </w:pPr>
      <w:r>
        <w:t>1.1 访问管理后台</w:t>
      </w:r>
    </w:p>
    <w:p>
      <w:pPr>
        <w:pStyle w:val="ListBullet"/>
      </w:pPr>
      <w:r>
        <w:rPr>
          <w:rFonts w:ascii="微软雅黑" w:hAnsi="微软雅黑" w:eastAsia="微软雅黑"/>
        </w:rPr>
        <w:t>后台地址：/admin/index.html（独立页面，不对外展示）</w:t>
      </w:r>
    </w:p>
    <w:p>
      <w:pPr>
        <w:pStyle w:val="ListBullet"/>
      </w:pPr>
      <w:r>
        <w:rPr>
          <w:rFonts w:ascii="微软雅黑" w:hAnsi="微软雅黑" w:eastAsia="微软雅黑"/>
        </w:rPr>
        <w:t>本地开发：http://localhost:8002/admin/index.html</w:t>
      </w:r>
    </w:p>
    <w:p>
      <w:pPr>
        <w:pStyle w:val="ListBullet"/>
      </w:pPr>
      <w:r>
        <w:rPr>
          <w:rFonts w:ascii="微软雅黑" w:hAnsi="微软雅黑" w:eastAsia="微软雅黑"/>
        </w:rPr>
        <w:t>生产环境：你的域名/admin/index.html（建议配置IP白名单）</w:t>
      </w:r>
    </w:p>
    <w:p>
      <w:pPr>
        <w:pStyle w:val="ListBullet"/>
      </w:pPr>
      <w:r>
        <w:rPr>
          <w:rFonts w:ascii="微软雅黑" w:hAnsi="微软雅黑" w:eastAsia="微软雅黑"/>
        </w:rPr>
        <w:t>安全建议：不要在公开渠道分享后台地址</w:t>
      </w:r>
    </w:p>
    <w:p>
      <w:pPr>
        <w:pStyle w:val="Heading2"/>
      </w:pPr>
      <w:r>
        <w:t>1.2 管理员账号</w:t>
      </w:r>
    </w:p>
    <w:p>
      <w:pPr>
        <w:pStyle w:val="ListBullet"/>
      </w:pPr>
      <w:r>
        <w:rPr>
          <w:rFonts w:ascii="微软雅黑" w:hAnsi="微软雅黑" w:eastAsia="微软雅黑"/>
        </w:rPr>
        <w:t>默认管理员用户名：admin</w:t>
      </w:r>
    </w:p>
    <w:p>
      <w:pPr>
        <w:pStyle w:val="ListBullet"/>
      </w:pPr>
      <w:r>
        <w:rPr>
          <w:rFonts w:ascii="微软雅黑" w:hAnsi="微软雅黑" w:eastAsia="微软雅黑"/>
        </w:rPr>
        <w:t>管理员密码：通过环境变量 ADMIN_PASSWORD 设置</w:t>
      </w:r>
    </w:p>
    <w:p>
      <w:pPr>
        <w:pStyle w:val="ListBullet"/>
      </w:pPr>
      <w:r>
        <w:rPr>
          <w:rFonts w:ascii="微软雅黑" w:hAnsi="微软雅黑" w:eastAsia="微软雅黑"/>
        </w:rPr>
        <w:t>登录方式：在前台用 admin 账号登录，然后访问管理后台</w:t>
      </w:r>
    </w:p>
    <w:p>
      <w:pPr>
        <w:pStyle w:val="ListBullet"/>
      </w:pPr>
      <w:r>
        <w:rPr>
          <w:rFonts w:ascii="微软雅黑" w:hAnsi="微软雅黑" w:eastAsia="微软雅黑"/>
        </w:rPr>
        <w:t>安全提示：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• 使用强密码，不要使用 admin/123456 这类弱密码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• 定期更换管理员密码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• 不要在公共设备上登录管理员账号</w:t>
      </w:r>
    </w:p>
    <w:p>
      <w:pPr>
        <w:pStyle w:val="Heading1"/>
      </w:pPr>
      <w:r>
        <w:t>二、订单管理</w:t>
      </w:r>
    </w:p>
    <w:p>
      <w:pPr>
        <w:pStyle w:val="Heading2"/>
      </w:pPr>
      <w:r>
        <w:t>2.1 订单状态说明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状态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  <w:tc>
          <w:tcPr>
            <w:tcW w:type="dxa" w:w="2880"/>
          </w:tcPr>
          <w:p>
            <w:r>
              <w:t>操作</w:t>
            </w:r>
          </w:p>
        </w:tc>
      </w:tr>
      <w:tr>
        <w:tc>
          <w:tcPr>
            <w:tcW w:type="dxa" w:w="2880"/>
          </w:tcPr>
          <w:p>
            <w:r>
              <w:t>pending</w:t>
            </w:r>
          </w:p>
        </w:tc>
        <w:tc>
          <w:tcPr>
            <w:tcW w:type="dxa" w:w="2880"/>
          </w:tcPr>
          <w:p>
            <w:r>
              <w:t>待支付</w:t>
            </w:r>
          </w:p>
        </w:tc>
        <w:tc>
          <w:tcPr>
            <w:tcW w:type="dxa" w:w="2880"/>
          </w:tcPr>
          <w:p>
            <w:r>
              <w:t>用户刚创建订单，尚未支付</w:t>
            </w:r>
          </w:p>
        </w:tc>
      </w:tr>
      <w:tr>
        <w:tc>
          <w:tcPr>
            <w:tcW w:type="dxa" w:w="2880"/>
          </w:tcPr>
          <w:p>
            <w:r>
              <w:t>pending_manual</w:t>
            </w:r>
          </w:p>
        </w:tc>
        <w:tc>
          <w:tcPr>
            <w:tcW w:type="dxa" w:w="2880"/>
          </w:tcPr>
          <w:p>
            <w:r>
              <w:t>待人工审核</w:t>
            </w:r>
          </w:p>
        </w:tc>
        <w:tc>
          <w:tcPr>
            <w:tcW w:type="dxa" w:w="2880"/>
          </w:tcPr>
          <w:p>
            <w:r>
              <w:t>用户已提交交易哈希，等待管理员确认到账</w:t>
            </w:r>
          </w:p>
        </w:tc>
      </w:tr>
      <w:tr>
        <w:tc>
          <w:tcPr>
            <w:tcW w:type="dxa" w:w="2880"/>
          </w:tcPr>
          <w:p>
            <w:r>
              <w:t>paid</w:t>
            </w:r>
          </w:p>
        </w:tc>
        <w:tc>
          <w:tcPr>
            <w:tcW w:type="dxa" w:w="2880"/>
          </w:tcPr>
          <w:p>
            <w:r>
              <w:t>已支付</w:t>
            </w:r>
          </w:p>
        </w:tc>
        <w:tc>
          <w:tcPr>
            <w:tcW w:type="dxa" w:w="2880"/>
          </w:tcPr>
          <w:p>
            <w:r>
              <w:t>订单已确认，用户订阅已激活</w:t>
            </w:r>
          </w:p>
        </w:tc>
      </w:tr>
      <w:tr>
        <w:tc>
          <w:tcPr>
            <w:tcW w:type="dxa" w:w="2880"/>
          </w:tcPr>
          <w:p>
            <w:r>
              <w:t>completed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订阅周期结束，订单完成</w:t>
            </w:r>
          </w:p>
        </w:tc>
      </w:tr>
      <w:tr>
        <w:tc>
          <w:tcPr>
            <w:tcW w:type="dxa" w:w="2880"/>
          </w:tcPr>
          <w:p>
            <w:r>
              <w:t>cancelled</w:t>
            </w:r>
          </w:p>
        </w:tc>
        <w:tc>
          <w:tcPr>
            <w:tcW w:type="dxa" w:w="2880"/>
          </w:tcPr>
          <w:p>
            <w:r>
              <w:t>已取消</w:t>
            </w:r>
          </w:p>
        </w:tc>
        <w:tc>
          <w:tcPr>
            <w:tcW w:type="dxa" w:w="2880"/>
          </w:tcPr>
          <w:p>
            <w:r>
              <w:t>订单被取消</w:t>
            </w:r>
          </w:p>
        </w:tc>
      </w:tr>
      <w:tr>
        <w:tc>
          <w:tcPr>
            <w:tcW w:type="dxa" w:w="2880"/>
          </w:tcPr>
          <w:p>
            <w:r>
              <w:t>expired</w:t>
            </w:r>
          </w:p>
        </w:tc>
        <w:tc>
          <w:tcPr>
            <w:tcW w:type="dxa" w:w="2880"/>
          </w:tcPr>
          <w:p>
            <w:r>
              <w:t>已过期</w:t>
            </w:r>
          </w:p>
        </w:tc>
        <w:tc>
          <w:tcPr>
            <w:tcW w:type="dxa" w:w="2880"/>
          </w:tcPr>
          <w:p>
            <w:r>
              <w:t>超时未支付，订单失效</w:t>
            </w:r>
          </w:p>
        </w:tc>
      </w:tr>
    </w:tbl>
    <w:p>
      <w:r>
        <w:rPr>
          <w:rFonts w:ascii="微软雅黑" w:hAnsi="微软雅黑" w:eastAsia="微软雅黑"/>
        </w:rPr>
      </w:r>
    </w:p>
    <w:p>
      <w:pPr>
        <w:pStyle w:val="Heading2"/>
      </w:pPr>
      <w:r>
        <w:t>2.2 确认订单到账</w:t>
      </w:r>
    </w:p>
    <w:p>
      <w:r>
        <w:rPr>
          <w:rFonts w:ascii="微软雅黑" w:hAnsi="微软雅黑" w:eastAsia="微软雅黑"/>
        </w:rPr>
        <w:t>操作流程：</w:t>
      </w:r>
    </w:p>
    <w:p>
      <w:pPr>
        <w:pStyle w:val="ListBullet"/>
      </w:pPr>
      <w:r>
        <w:rPr>
          <w:rFonts w:ascii="微软雅黑" w:hAnsi="微软雅黑" w:eastAsia="微软雅黑"/>
        </w:rPr>
        <w:t>1. 进入「订单管理」页面</w:t>
      </w:r>
    </w:p>
    <w:p>
      <w:pPr>
        <w:pStyle w:val="ListBullet"/>
      </w:pPr>
      <w:r>
        <w:rPr>
          <w:rFonts w:ascii="微软雅黑" w:hAnsi="微软雅黑" w:eastAsia="微软雅黑"/>
        </w:rPr>
        <w:t>2. 状态筛选选择「待审核」，快速找到需要处理的订单</w:t>
      </w:r>
    </w:p>
    <w:p>
      <w:pPr>
        <w:pStyle w:val="ListBullet"/>
      </w:pPr>
      <w:r>
        <w:rPr>
          <w:rFonts w:ascii="微软雅黑" w:hAnsi="微软雅黑" w:eastAsia="微软雅黑"/>
        </w:rPr>
        <w:t>3. 复制订单中的「交易哈希」（tx_hash）</w:t>
      </w:r>
    </w:p>
    <w:p>
      <w:pPr>
        <w:pStyle w:val="ListBullet"/>
      </w:pPr>
      <w:r>
        <w:rPr>
          <w:rFonts w:ascii="微软雅黑" w:hAnsi="微软雅黑" w:eastAsia="微软雅黑"/>
        </w:rPr>
        <w:t>4. 在 TRON 区块链浏览器（如 tronscan.io）中查询该交易</w:t>
      </w:r>
    </w:p>
    <w:p>
      <w:pPr>
        <w:pStyle w:val="ListBullet"/>
      </w:pPr>
      <w:r>
        <w:rPr>
          <w:rFonts w:ascii="微软雅黑" w:hAnsi="微软雅黑" w:eastAsia="微软雅黑"/>
        </w:rPr>
        <w:t>5. 确认以下信息：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  • 交易真实存在，已被区块链确认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  • 转账金额与订单金额一致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  • 收款地址是你的 USDT 钱包地址</w:t>
      </w:r>
    </w:p>
    <w:p>
      <w:pPr>
        <w:pStyle w:val="ListBullet"/>
      </w:pPr>
      <w:r>
        <w:rPr>
          <w:rFonts w:ascii="微软雅黑" w:hAnsi="微软雅黑" w:eastAsia="微软雅黑"/>
        </w:rPr>
        <w:t>6. 确认无误后，点击订单右侧的「确认到账」按钮</w:t>
      </w:r>
    </w:p>
    <w:p>
      <w:pPr>
        <w:pStyle w:val="ListBullet"/>
      </w:pPr>
      <w:r>
        <w:rPr>
          <w:rFonts w:ascii="微软雅黑" w:hAnsi="微软雅黑" w:eastAsia="微软雅黑"/>
        </w:rPr>
        <w:t>7. 系统会自动激活该用户的订阅</w:t>
      </w:r>
    </w:p>
    <w:p>
      <w:r>
        <w:rPr>
          <w:rFonts w:ascii="微软雅黑" w:hAnsi="微软雅黑" w:eastAsia="微软雅黑"/>
          <w:b/>
          <w:color w:val="EF4444"/>
        </w:rPr>
        <w:t>注意事项：</w:t>
      </w:r>
    </w:p>
    <w:p>
      <w:pPr>
        <w:pStyle w:val="ListBullet"/>
      </w:pPr>
      <w:r>
        <w:rPr>
          <w:rFonts w:ascii="微软雅黑" w:hAnsi="微软雅黑" w:eastAsia="微软雅黑"/>
        </w:rPr>
        <w:t>务必核实交易的真实性，防止伪造的交易哈希</w:t>
      </w:r>
    </w:p>
    <w:p>
      <w:pPr>
        <w:pStyle w:val="ListBullet"/>
      </w:pPr>
      <w:r>
        <w:rPr>
          <w:rFonts w:ascii="微软雅黑" w:hAnsi="微软雅黑" w:eastAsia="微软雅黑"/>
        </w:rPr>
        <w:t>注意区分 USDT (TRC20) 和其他网络的 USDT</w:t>
      </w:r>
    </w:p>
    <w:p>
      <w:pPr>
        <w:pStyle w:val="ListBullet"/>
      </w:pPr>
      <w:r>
        <w:rPr>
          <w:rFonts w:ascii="微软雅黑" w:hAnsi="微软雅黑" w:eastAsia="微软雅黑"/>
        </w:rPr>
        <w:t>确认前检查钱包余额是否确实到账</w:t>
      </w:r>
    </w:p>
    <w:p>
      <w:pPr>
        <w:pStyle w:val="ListBullet"/>
      </w:pPr>
      <w:r>
        <w:rPr>
          <w:rFonts w:ascii="微软雅黑" w:hAnsi="微软雅黑" w:eastAsia="微软雅黑"/>
        </w:rPr>
        <w:t>同一笔交易只能用于一个订单，防止重复使用</w:t>
      </w:r>
    </w:p>
    <w:p>
      <w:pPr>
        <w:pStyle w:val="Heading1"/>
      </w:pPr>
      <w:r>
        <w:t>三、用户管理</w:t>
      </w:r>
    </w:p>
    <w:p>
      <w:pPr>
        <w:pStyle w:val="Heading2"/>
      </w:pPr>
      <w:r>
        <w:t>3.1 查看用户列表</w:t>
      </w:r>
    </w:p>
    <w:p>
      <w:pPr>
        <w:pStyle w:val="ListBullet"/>
      </w:pPr>
      <w:r>
        <w:rPr>
          <w:rFonts w:ascii="微软雅黑" w:hAnsi="微软雅黑" w:eastAsia="微软雅黑"/>
        </w:rPr>
        <w:t>进入「用户管理」标签页</w:t>
      </w:r>
    </w:p>
    <w:p>
      <w:pPr>
        <w:pStyle w:val="ListBullet"/>
      </w:pPr>
      <w:r>
        <w:rPr>
          <w:rFonts w:ascii="微软雅黑" w:hAnsi="微软雅黑" w:eastAsia="微软雅黑"/>
        </w:rPr>
        <w:t>可以看到所有有订单记录的用户</w:t>
      </w:r>
    </w:p>
    <w:p>
      <w:pPr>
        <w:pStyle w:val="ListBullet"/>
      </w:pPr>
      <w:r>
        <w:rPr>
          <w:rFonts w:ascii="微软雅黑" w:hAnsi="微软雅黑" w:eastAsia="微软雅黑"/>
        </w:rPr>
        <w:t>显示信息：用户ID、订阅等级、最近订单时间等</w:t>
      </w:r>
    </w:p>
    <w:p>
      <w:pPr>
        <w:pStyle w:val="ListBullet"/>
      </w:pPr>
      <w:r>
        <w:rPr>
          <w:rFonts w:ascii="微软雅黑" w:hAnsi="微软雅黑" w:eastAsia="微软雅黑"/>
        </w:rPr>
        <w:t>支持搜索（按用户ID）</w:t>
      </w:r>
    </w:p>
    <w:p>
      <w:pPr>
        <w:pStyle w:val="Heading2"/>
      </w:pPr>
      <w:r>
        <w:t>3.2 手动激活订阅</w:t>
      </w:r>
    </w:p>
    <w:p>
      <w:r>
        <w:rPr>
          <w:rFonts w:ascii="微软雅黑" w:hAnsi="微软雅黑" w:eastAsia="微软雅黑"/>
        </w:rPr>
        <w:t>适用于以下场景：</w:t>
      </w:r>
    </w:p>
    <w:p>
      <w:pPr>
        <w:pStyle w:val="ListBullet"/>
      </w:pPr>
      <w:r>
        <w:rPr>
          <w:rFonts w:ascii="微软雅黑" w:hAnsi="微软雅黑" w:eastAsia="微软雅黑"/>
        </w:rPr>
        <w:t>用户通过其他方式付款（如银行转账、私下交易）</w:t>
      </w:r>
    </w:p>
    <w:p>
      <w:pPr>
        <w:pStyle w:val="ListBullet"/>
      </w:pPr>
      <w:r>
        <w:rPr>
          <w:rFonts w:ascii="微软雅黑" w:hAnsi="微软雅黑" w:eastAsia="微软雅黑"/>
        </w:rPr>
        <w:t>补偿用户（服务故障补偿、活动奖励等）</w:t>
      </w:r>
    </w:p>
    <w:p>
      <w:pPr>
        <w:pStyle w:val="ListBullet"/>
      </w:pPr>
      <w:r>
        <w:rPr>
          <w:rFonts w:ascii="微软雅黑" w:hAnsi="微软雅黑" w:eastAsia="微软雅黑"/>
        </w:rPr>
        <w:t>内部测试账号</w:t>
      </w:r>
    </w:p>
    <w:p>
      <w:r>
        <w:rPr>
          <w:rFonts w:ascii="微软雅黑" w:hAnsi="微软雅黑" w:eastAsia="微软雅黑"/>
        </w:rPr>
        <w:t>操作步骤：</w:t>
      </w:r>
    </w:p>
    <w:p>
      <w:pPr>
        <w:pStyle w:val="ListBullet"/>
      </w:pPr>
      <w:r>
        <w:rPr>
          <w:rFonts w:ascii="微软雅黑" w:hAnsi="微软雅黑" w:eastAsia="微软雅黑"/>
        </w:rPr>
        <w:t>方式一：在「工具箱」→「手动激活订阅」中操作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1. 输入用户ID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2. 选择订阅等级（基础版/专业版/机构版）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3. 输入天数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4. 点击「激活订阅」</w:t>
      </w:r>
    </w:p>
    <w:p>
      <w:pPr>
        <w:pStyle w:val="ListBullet"/>
      </w:pPr>
      <w:r>
        <w:rPr>
          <w:rFonts w:ascii="微软雅黑" w:hAnsi="微软雅黑" w:eastAsia="微软雅黑"/>
        </w:rPr>
        <w:t>方式二：在用户列表中点击「管理」按钮</w:t>
      </w:r>
    </w:p>
    <w:p>
      <w:pPr>
        <w:pStyle w:val="Heading1"/>
      </w:pPr>
      <w:r>
        <w:t>四、数据统计</w:t>
      </w:r>
    </w:p>
    <w:p>
      <w:pPr>
        <w:pStyle w:val="Heading2"/>
      </w:pPr>
      <w:r>
        <w:t>4.1 统计指标说明</w:t>
      </w:r>
    </w:p>
    <w:p>
      <w:pPr>
        <w:pStyle w:val="ListBullet"/>
      </w:pPr>
      <w:r>
        <w:rPr>
          <w:rFonts w:ascii="微软雅黑" w:hAnsi="微软雅黑" w:eastAsia="微软雅黑"/>
        </w:rPr>
        <w:t>总用户数：所有有订单记录的用户总数</w:t>
      </w:r>
    </w:p>
    <w:p>
      <w:pPr>
        <w:pStyle w:val="ListBullet"/>
      </w:pPr>
      <w:r>
        <w:rPr>
          <w:rFonts w:ascii="微软雅黑" w:hAnsi="微软雅黑" w:eastAsia="微软雅黑"/>
        </w:rPr>
        <w:t>付费用户：至少有一笔已支付订单的用户数</w:t>
      </w:r>
    </w:p>
    <w:p>
      <w:pPr>
        <w:pStyle w:val="ListBullet"/>
      </w:pPr>
      <w:r>
        <w:rPr>
          <w:rFonts w:ascii="微软雅黑" w:hAnsi="微软雅黑" w:eastAsia="微软雅黑"/>
        </w:rPr>
        <w:t>待处理订单：状态为待审核的订单数量（需要你处理的）</w:t>
      </w:r>
    </w:p>
    <w:p>
      <w:pPr>
        <w:pStyle w:val="ListBullet"/>
      </w:pPr>
      <w:r>
        <w:rPr>
          <w:rFonts w:ascii="微软雅黑" w:hAnsi="微软雅黑" w:eastAsia="微软雅黑"/>
        </w:rPr>
        <w:t>总收入：所有已支付订单的金额总和</w:t>
      </w:r>
    </w:p>
    <w:p>
      <w:pPr>
        <w:pStyle w:val="Heading2"/>
      </w:pPr>
      <w:r>
        <w:t>4.2 数据刷新</w:t>
      </w:r>
    </w:p>
    <w:p>
      <w:pPr>
        <w:pStyle w:val="ListBullet"/>
      </w:pPr>
      <w:r>
        <w:rPr>
          <w:rFonts w:ascii="微软雅黑" w:hAnsi="微软雅黑" w:eastAsia="微软雅黑"/>
        </w:rPr>
        <w:t>页面加载时自动刷新统计数据</w:t>
      </w:r>
    </w:p>
    <w:p>
      <w:pPr>
        <w:pStyle w:val="ListBullet"/>
      </w:pPr>
      <w:r>
        <w:rPr>
          <w:rFonts w:ascii="微软雅黑" w:hAnsi="微软雅黑" w:eastAsia="微软雅黑"/>
        </w:rPr>
        <w:t>点击「刷新」按钮手动刷新</w:t>
      </w:r>
    </w:p>
    <w:p>
      <w:pPr>
        <w:pStyle w:val="ListBullet"/>
      </w:pPr>
      <w:r>
        <w:rPr>
          <w:rFonts w:ascii="微软雅黑" w:hAnsi="微软雅黑" w:eastAsia="微软雅黑"/>
        </w:rPr>
        <w:t>确认订单后统计数据会自动更新</w:t>
      </w:r>
    </w:p>
    <w:p>
      <w:pPr>
        <w:pStyle w:val="Heading1"/>
      </w:pPr>
      <w:r>
        <w:t>五、常见问题</w:t>
      </w:r>
    </w:p>
    <w:p>
      <w:pPr>
        <w:pStyle w:val="Heading2"/>
      </w:pPr>
      <w:r>
        <w:t>5.1 支付相关</w:t>
      </w:r>
    </w:p>
    <w:p>
      <w:pPr>
        <w:pStyle w:val="ListBullet"/>
      </w:pPr>
      <w:r>
        <w:rPr>
          <w:rFonts w:ascii="微软雅黑" w:hAnsi="微软雅黑" w:eastAsia="微软雅黑"/>
        </w:rPr>
        <w:t>Q: 用户说已经转账了，但订单还是待支付？</w:t>
      </w:r>
    </w:p>
    <w:p>
      <w:pPr>
        <w:pStyle w:val="ListBullet"/>
      </w:pPr>
      <w:r>
        <w:rPr>
          <w:rFonts w:ascii="微软雅黑" w:hAnsi="微软雅黑" w:eastAsia="微软雅黑"/>
        </w:rPr>
        <w:t>A: 让用户在支付页面提交交易哈希，提交后订单状态变为待审核，你就可以确认了。</w:t>
      </w:r>
    </w:p>
    <w:p>
      <w:pPr>
        <w:pStyle w:val="ListBullet"/>
      </w:pPr>
      <w:r>
        <w:rPr>
          <w:rFonts w:ascii="微软雅黑" w:hAnsi="微软雅黑" w:eastAsia="微软雅黑"/>
        </w:rPr>
        <w:t>Q: 交易哈希是假的怎么办？</w:t>
      </w:r>
    </w:p>
    <w:p>
      <w:pPr>
        <w:pStyle w:val="ListBullet"/>
      </w:pPr>
      <w:r>
        <w:rPr>
          <w:rFonts w:ascii="微软雅黑" w:hAnsi="微软雅黑" w:eastAsia="微软雅黑"/>
        </w:rPr>
        <w:t>A: 一定要在区块链浏览器上核实交易的真实性，确认地址和金额都对再确认。</w:t>
      </w:r>
    </w:p>
    <w:p>
      <w:pPr>
        <w:pStyle w:val="ListBullet"/>
      </w:pPr>
      <w:r>
        <w:rPr>
          <w:rFonts w:ascii="微软雅黑" w:hAnsi="微软雅黑" w:eastAsia="微软雅黑"/>
        </w:rPr>
        <w:t>Q: 用户转错金额了怎么办？</w:t>
      </w:r>
    </w:p>
    <w:p>
      <w:pPr>
        <w:pStyle w:val="ListBullet"/>
      </w:pPr>
      <w:r>
        <w:rPr>
          <w:rFonts w:ascii="微软雅黑" w:hAnsi="微软雅黑" w:eastAsia="微软雅黑"/>
        </w:rPr>
        <w:t>A: 根据实际情况处理：如果少了，让用户补款；如果多了，可以手动激活对应等级的订阅。</w:t>
      </w:r>
    </w:p>
    <w:p>
      <w:pPr>
        <w:pStyle w:val="Heading2"/>
      </w:pPr>
      <w:r>
        <w:t>5.2 账号相关</w:t>
      </w:r>
    </w:p>
    <w:p>
      <w:pPr>
        <w:pStyle w:val="ListBullet"/>
      </w:pPr>
      <w:r>
        <w:rPr>
          <w:rFonts w:ascii="微软雅黑" w:hAnsi="微软雅黑" w:eastAsia="微软雅黑"/>
        </w:rPr>
        <w:t>Q: 忘记管理员密码怎么办？</w:t>
      </w:r>
    </w:p>
    <w:p>
      <w:pPr>
        <w:pStyle w:val="ListBullet"/>
      </w:pPr>
      <w:r>
        <w:rPr>
          <w:rFonts w:ascii="微软雅黑" w:hAnsi="微软雅黑" w:eastAsia="微软雅黑"/>
        </w:rPr>
        <w:t>A: 在数据库中重置，或联系技术人员重新设置 ADMIN_PASSWORD 环境变量。</w:t>
      </w:r>
    </w:p>
    <w:p>
      <w:pPr>
        <w:pStyle w:val="ListBullet"/>
      </w:pPr>
      <w:r>
        <w:rPr>
          <w:rFonts w:ascii="微软雅黑" w:hAnsi="微软雅黑" w:eastAsia="微软雅黑"/>
        </w:rPr>
        <w:t>Q: 可以有多个管理员吗？</w:t>
      </w:r>
    </w:p>
    <w:p>
      <w:pPr>
        <w:pStyle w:val="ListBullet"/>
      </w:pPr>
      <w:r>
        <w:rPr>
          <w:rFonts w:ascii="微软雅黑" w:hAnsi="微软雅黑" w:eastAsia="微软雅黑"/>
        </w:rPr>
        <w:t>A: 当前版本只支持单管理员（用户名为 admin 的账号）。后续版本会支持多管理员角色。</w:t>
      </w:r>
    </w:p>
    <w:p>
      <w:pPr>
        <w:pStyle w:val="Heading2"/>
      </w:pPr>
      <w:r>
        <w:t>5.3 系统相关</w:t>
      </w:r>
    </w:p>
    <w:p>
      <w:pPr>
        <w:pStyle w:val="ListBullet"/>
      </w:pPr>
      <w:r>
        <w:rPr>
          <w:rFonts w:ascii="微软雅黑" w:hAnsi="微软雅黑" w:eastAsia="微软雅黑"/>
        </w:rPr>
        <w:t>Q: 管理后台打不开怎么办？</w:t>
      </w:r>
    </w:p>
    <w:p>
      <w:pPr>
        <w:pStyle w:val="ListBullet"/>
      </w:pPr>
      <w:r>
        <w:rPr>
          <w:rFonts w:ascii="微软雅黑" w:hAnsi="微软雅黑" w:eastAsia="微软雅黑"/>
        </w:rPr>
        <w:t>A: 检查后端服务是否正常运行，确认 API 地址配置正确。</w:t>
      </w:r>
    </w:p>
    <w:p>
      <w:pPr>
        <w:pStyle w:val="ListBullet"/>
      </w:pPr>
      <w:r>
        <w:rPr>
          <w:rFonts w:ascii="微软雅黑" w:hAnsi="微软雅黑" w:eastAsia="微软雅黑"/>
        </w:rPr>
        <w:t>Q: 数据会丢失吗？</w:t>
      </w:r>
    </w:p>
    <w:p>
      <w:pPr>
        <w:pStyle w:val="ListBullet"/>
      </w:pPr>
      <w:r>
        <w:rPr>
          <w:rFonts w:ascii="微软雅黑" w:hAnsi="微软雅黑" w:eastAsia="微软雅黑"/>
        </w:rPr>
        <w:t>A: 定期备份数据库（predict_edge.db），建议每日自动备份。</w:t>
      </w:r>
    </w:p>
    <w:p>
      <w:pPr>
        <w:pStyle w:val="Heading1"/>
      </w:pPr>
      <w:r>
        <w:t>六、安全最佳实践</w:t>
      </w:r>
    </w:p>
    <w:p>
      <w:pPr>
        <w:pStyle w:val="ListBullet"/>
      </w:pPr>
      <w:r>
        <w:rPr>
          <w:rFonts w:ascii="微软雅黑" w:hAnsi="微软雅黑" w:eastAsia="微软雅黑"/>
        </w:rPr>
        <w:t>🔐 管理员密码：使用强密码，定期更换</w:t>
      </w:r>
    </w:p>
    <w:p>
      <w:pPr>
        <w:pStyle w:val="ListBullet"/>
      </w:pPr>
      <w:r>
        <w:rPr>
          <w:rFonts w:ascii="微软雅黑" w:hAnsi="微软雅黑" w:eastAsia="微软雅黑"/>
        </w:rPr>
        <w:t>🌐 后台地址：不要公开分享，建议配置IP白名单</w:t>
      </w:r>
    </w:p>
    <w:p>
      <w:pPr>
        <w:pStyle w:val="ListBullet"/>
      </w:pPr>
      <w:r>
        <w:rPr>
          <w:rFonts w:ascii="微软雅黑" w:hAnsi="微软雅黑" w:eastAsia="微软雅黑"/>
        </w:rPr>
        <w:t>💻 设备安全：只在受信任的设备上登录管理后台</w:t>
      </w:r>
    </w:p>
    <w:p>
      <w:pPr>
        <w:pStyle w:val="ListBullet"/>
      </w:pPr>
      <w:r>
        <w:rPr>
          <w:rFonts w:ascii="微软雅黑" w:hAnsi="微软雅黑" w:eastAsia="微软雅黑"/>
        </w:rPr>
        <w:t>📝 操作谨慎：确认订单前务必核实交易真实性</w:t>
      </w:r>
    </w:p>
    <w:p>
      <w:pPr>
        <w:pStyle w:val="ListBullet"/>
      </w:pPr>
      <w:r>
        <w:rPr>
          <w:rFonts w:ascii="微软雅黑" w:hAnsi="微软雅黑" w:eastAsia="微软雅黑"/>
        </w:rPr>
        <w:t>💾 数据备份：定期备份数据库，防止数据丢失</w:t>
      </w:r>
    </w:p>
    <w:p>
      <w:pPr>
        <w:pStyle w:val="ListBullet"/>
      </w:pPr>
      <w:r>
        <w:rPr>
          <w:rFonts w:ascii="微软雅黑" w:hAnsi="微软雅黑" w:eastAsia="微软雅黑"/>
        </w:rPr>
        <w:t>🔍 日志检查：定期查看系统日志，发现异常及时处理</w:t>
      </w:r>
    </w:p>
    <w:p>
      <w:pPr>
        <w:pStyle w:val="ListBullet"/>
      </w:pPr>
      <w:r>
        <w:rPr>
          <w:rFonts w:ascii="微软雅黑" w:hAnsi="微软雅黑" w:eastAsia="微软雅黑"/>
        </w:rPr>
        <w:t>🚨 应急响应：发现安全问题立即暂停服务并排查</w:t>
      </w:r>
    </w:p>
    <w:p>
      <w:r>
        <w:rPr>
          <w:rFonts w:ascii="微软雅黑" w:hAnsi="微软雅黑" w:eastAsia="微软雅黑"/>
        </w:rPr>
      </w:r>
    </w:p>
    <w:p>
      <w:r>
        <w:rPr>
          <w:rFonts w:ascii="微软雅黑" w:hAnsi="微软雅黑" w:eastAsia="微软雅黑"/>
          <w:color w:val="6B7280"/>
        </w:rPr>
        <w:t>--- 手册结束 ---</w:t>
      </w:r>
    </w:p>
    <w:p>
      <w:r>
        <w:rPr>
          <w:rFonts w:ascii="微软雅黑" w:hAnsi="微软雅黑" w:eastAsia="微软雅黑"/>
        </w:rPr>
        <w:t>如有疑问请联系技术团队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0B98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0B98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0B98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