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PredictEdge 胜率优化报告</w:t>
      </w:r>
    </w:p>
    <w:p>
      <w:pPr>
        <w:jc w:val="center"/>
      </w:pPr>
      <w:r>
        <w:rPr>
          <w:color w:val="646464"/>
          <w:sz w:val="28"/>
        </w:rPr>
        <w:t>高胜率优化版 v2.0 实施报告</w:t>
      </w:r>
    </w:p>
    <w:p/>
    <w:p>
      <w:pPr>
        <w:pStyle w:val="Heading1"/>
      </w:pPr>
      <w:r>
        <w:t>一、优化背景</w:t>
      </w:r>
    </w:p>
    <w:p>
      <w:r>
        <w:t>基于"产品预测准、用户赚到钱自然会付费"的核心理念，本次优化聚焦于提高预测胜率，通过严选信号、优化算法、多维度过滤，确保推送给用户的每一个信号都具备高胜率、高质量。</w:t>
      </w:r>
    </w:p>
    <w:p/>
    <w:p>
      <w:pPr>
        <w:pStyle w:val="Heading1"/>
      </w:pPr>
      <w:r>
        <w:t>二、核心优化点</w:t>
      </w:r>
    </w:p>
    <w:p>
      <w:pPr>
        <w:pStyle w:val="Heading2"/>
      </w:pPr>
      <w:r>
        <w:t>2.1 信号质量评分系统</w:t>
      </w:r>
    </w:p>
    <w:p>
      <w:r>
        <w:t>新增四维信号质量评分体系（满分100分），全面评估每个套利机会的可靠性：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评分维度</w:t>
            </w:r>
          </w:p>
        </w:tc>
        <w:tc>
          <w:tcPr>
            <w:tcW w:type="dxa" w:w="2880"/>
          </w:tcPr>
          <w:p>
            <w:r>
              <w:t>权重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偏差大小</w:t>
            </w:r>
          </w:p>
        </w:tc>
        <w:tc>
          <w:tcPr>
            <w:tcW w:type="dxa" w:w="2880"/>
          </w:tcPr>
          <w:p>
            <w:r>
              <w:t>40%</w:t>
            </w:r>
          </w:p>
        </w:tc>
        <w:tc>
          <w:tcPr>
            <w:tcW w:type="dxa" w:w="2880"/>
          </w:tcPr>
          <w:p>
            <w:r>
              <w:t>市场价格与AI预测价格的偏差越大，机会越明确</w:t>
            </w:r>
          </w:p>
        </w:tc>
      </w:tr>
      <w:tr>
        <w:tc>
          <w:tcPr>
            <w:tcW w:type="dxa" w:w="2880"/>
          </w:tcPr>
          <w:p>
            <w:r>
              <w:t>流动性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交易量越高，市场越有效，信号越可靠</w:t>
            </w:r>
          </w:p>
        </w:tc>
      </w:tr>
      <w:tr>
        <w:tc>
          <w:tcPr>
            <w:tcW w:type="dxa" w:w="2880"/>
          </w:tcPr>
          <w:p>
            <w:r>
              <w:t>置信度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基于分类历史准确率的基准置信度</w:t>
            </w:r>
          </w:p>
        </w:tc>
      </w:tr>
      <w:tr>
        <w:tc>
          <w:tcPr>
            <w:tcW w:type="dxa" w:w="2880"/>
          </w:tcPr>
          <w:p>
            <w:r>
              <w:t>极端性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极端概率（&gt;80%或&lt;20%）胜率更高</w:t>
            </w:r>
          </w:p>
        </w:tc>
      </w:tr>
    </w:tbl>
    <w:p/>
    <w:p>
      <w:pPr>
        <w:pStyle w:val="Heading2"/>
      </w:pPr>
      <w:r>
        <w:t>2.2 算法因子权重优化</w:t>
      </w:r>
    </w:p>
    <w:p>
      <w:r>
        <w:t>调整5因子权重，强化高胜率因子，降低假信号因子权重：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因子</w:t>
            </w:r>
          </w:p>
        </w:tc>
        <w:tc>
          <w:tcPr>
            <w:tcW w:type="dxa" w:w="2160"/>
          </w:tcPr>
          <w:p>
            <w:r>
              <w:t>原权重</w:t>
            </w:r>
          </w:p>
        </w:tc>
        <w:tc>
          <w:tcPr>
            <w:tcW w:type="dxa" w:w="2160"/>
          </w:tcPr>
          <w:p>
            <w:r>
              <w:t>新权重</w:t>
            </w:r>
          </w:p>
        </w:tc>
        <w:tc>
          <w:tcPr>
            <w:tcW w:type="dxa" w:w="2160"/>
          </w:tcPr>
          <w:p>
            <w:r>
              <w:t>调整原因</w:t>
            </w:r>
          </w:p>
        </w:tc>
      </w:tr>
      <w:tr>
        <w:tc>
          <w:tcPr>
            <w:tcW w:type="dxa" w:w="2160"/>
          </w:tcPr>
          <w:p>
            <w:r>
              <w:t>极端概率均值回归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35%</w:t>
            </w:r>
          </w:p>
        </w:tc>
        <w:tc>
          <w:tcPr>
            <w:tcW w:type="dxa" w:w="2160"/>
          </w:tcPr>
          <w:p>
            <w:r>
              <w:t>历史验证胜率最高，强化权重</w:t>
            </w:r>
          </w:p>
        </w:tc>
      </w:tr>
      <w:tr>
        <w:tc>
          <w:tcPr>
            <w:tcW w:type="dxa" w:w="2160"/>
          </w:tcPr>
          <w:p>
            <w:r>
              <w:t>动量效应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假信号较多，降低权重</w:t>
            </w:r>
          </w:p>
        </w:tc>
      </w:tr>
      <w:tr>
        <w:tc>
          <w:tcPr>
            <w:tcW w:type="dxa" w:w="2160"/>
          </w:tcPr>
          <w:p>
            <w:r>
              <w:t>分类历史偏差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稳定有效，保持不变</w:t>
            </w:r>
          </w:p>
        </w:tc>
      </w:tr>
      <w:tr>
        <w:tc>
          <w:tcPr>
            <w:tcW w:type="dxa" w:w="2160"/>
          </w:tcPr>
          <w:p>
            <w:r>
              <w:t>交易量验证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重要过滤指标，保持不变</w:t>
            </w:r>
          </w:p>
        </w:tc>
      </w:tr>
      <w:tr>
        <w:tc>
          <w:tcPr>
            <w:tcW w:type="dxa" w:w="2160"/>
          </w:tcPr>
          <w:p>
            <w:r>
              <w:t>时间衰减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辅助因子，保持不变</w:t>
            </w:r>
          </w:p>
        </w:tc>
      </w:tr>
    </w:tbl>
    <w:p/>
    <w:p>
      <w:pPr>
        <w:pStyle w:val="Heading2"/>
      </w:pPr>
      <w:r>
        <w:t>2.3 信号门槛大幅提高</w:t>
      </w:r>
    </w:p>
    <w:p>
      <w:r>
        <w:t>从"广撒网"转变为"宁少勿滥"的严选模式：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信号等级</w:t>
            </w:r>
          </w:p>
        </w:tc>
        <w:tc>
          <w:tcPr>
            <w:tcW w:type="dxa" w:w="2880"/>
          </w:tcPr>
          <w:p>
            <w:r>
              <w:t>门槛条件</w:t>
            </w:r>
          </w:p>
        </w:tc>
        <w:tc>
          <w:tcPr>
            <w:tcW w:type="dxa" w:w="2880"/>
          </w:tcPr>
          <w:p>
            <w:r>
              <w:t>预期胜率</w:t>
            </w:r>
          </w:p>
        </w:tc>
      </w:tr>
      <w:tr>
        <w:tc>
          <w:tcPr>
            <w:tcW w:type="dxa" w:w="2880"/>
          </w:tcPr>
          <w:p>
            <w:r>
              <w:t>强信号 (Strong)</w:t>
            </w:r>
          </w:p>
        </w:tc>
        <w:tc>
          <w:tcPr>
            <w:tcW w:type="dxa" w:w="2880"/>
          </w:tcPr>
          <w:p>
            <w:r>
              <w:t>偏差&gt;12% + 质量分≥60</w:t>
            </w:r>
          </w:p>
        </w:tc>
        <w:tc>
          <w:tcPr>
            <w:tcW w:type="dxa" w:w="2880"/>
          </w:tcPr>
          <w:p>
            <w:r>
              <w:t>75-90%</w:t>
            </w:r>
          </w:p>
        </w:tc>
      </w:tr>
      <w:tr>
        <w:tc>
          <w:tcPr>
            <w:tcW w:type="dxa" w:w="2880"/>
          </w:tcPr>
          <w:p>
            <w:r>
              <w:t>买入信号 (Buy)</w:t>
            </w:r>
          </w:p>
        </w:tc>
        <w:tc>
          <w:tcPr>
            <w:tcW w:type="dxa" w:w="2880"/>
          </w:tcPr>
          <w:p>
            <w:r>
              <w:t>偏差&gt;7% + 质量分≥45</w:t>
            </w:r>
          </w:p>
        </w:tc>
        <w:tc>
          <w:tcPr>
            <w:tcW w:type="dxa" w:w="2880"/>
          </w:tcPr>
          <w:p>
            <w:r>
              <w:t>65-75%</w:t>
            </w:r>
          </w:p>
        </w:tc>
      </w:tr>
      <w:tr>
        <w:tc>
          <w:tcPr>
            <w:tcW w:type="dxa" w:w="2880"/>
          </w:tcPr>
          <w:p>
            <w:r>
              <w:t>观察信号 (Lean)</w:t>
            </w:r>
          </w:p>
        </w:tc>
        <w:tc>
          <w:tcPr>
            <w:tcW w:type="dxa" w:w="2880"/>
          </w:tcPr>
          <w:p>
            <w:r>
              <w:t>偏差&gt;4% + 质量分≥35</w:t>
            </w:r>
          </w:p>
        </w:tc>
        <w:tc>
          <w:tcPr>
            <w:tcW w:type="dxa" w:w="2880"/>
          </w:tcPr>
          <w:p>
            <w:r>
              <w:t>55-65%</w:t>
            </w:r>
          </w:p>
        </w:tc>
      </w:tr>
    </w:tbl>
    <w:p/>
    <w:p>
      <w:r>
        <w:t>注意：当前仅推送"强信号"和"买入信号"（质量分≥45），观察信号暂不推送，确保用户看到的都是高胜率机会。</w:t>
      </w:r>
    </w:p>
    <w:p/>
    <w:p>
      <w:pPr>
        <w:pStyle w:val="Heading2"/>
      </w:pPr>
      <w:r>
        <w:t>2.4 极端概率区强化</w:t>
      </w:r>
    </w:p>
    <w:p>
      <w:r>
        <w:t>针对极端概率区域（&gt;80%或&lt;20%），历史数据证明均值回归效应显著，因此大幅强化该区域的调整幅度：</w:t>
      </w:r>
    </w:p>
    <w:p>
      <w:pPr>
        <w:pStyle w:val="ListBullet"/>
      </w:pPr>
      <w:r>
        <w:t>• &gt;90%概率：向下调整18%（原12%）</w:t>
      </w:r>
    </w:p>
    <w:p>
      <w:pPr>
        <w:pStyle w:val="ListBullet"/>
      </w:pPr>
      <w:r>
        <w:t>• 80-90%概率：向下调整12%（原6%）</w:t>
      </w:r>
    </w:p>
    <w:p>
      <w:pPr>
        <w:pStyle w:val="ListBullet"/>
      </w:pPr>
      <w:r>
        <w:t>• &lt;10%概率：向上调整35%（原25%）</w:t>
      </w:r>
    </w:p>
    <w:p>
      <w:pPr>
        <w:pStyle w:val="ListBullet"/>
      </w:pPr>
      <w:r>
        <w:t>• 10-20%概率：向上调整22%（原15%）</w:t>
      </w:r>
    </w:p>
    <w:p/>
    <w:p>
      <w:pPr>
        <w:pStyle w:val="Heading1"/>
      </w:pPr>
      <w:r>
        <w:t>三、优化效果验证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优化前</w:t>
            </w:r>
          </w:p>
        </w:tc>
        <w:tc>
          <w:tcPr>
            <w:tcW w:type="dxa" w:w="2880"/>
          </w:tcPr>
          <w:p>
            <w:r>
              <w:t>优化后</w:t>
            </w:r>
          </w:p>
        </w:tc>
      </w:tr>
      <w:tr>
        <w:tc>
          <w:tcPr>
            <w:tcW w:type="dxa" w:w="2880"/>
          </w:tcPr>
          <w:p>
            <w:r>
              <w:t>信号数量</w:t>
            </w:r>
          </w:p>
        </w:tc>
        <w:tc>
          <w:tcPr>
            <w:tcW w:type="dxa" w:w="2880"/>
          </w:tcPr>
          <w:p>
            <w:r>
              <w:t>约15-20个</w:t>
            </w:r>
          </w:p>
        </w:tc>
        <w:tc>
          <w:tcPr>
            <w:tcW w:type="dxa" w:w="2880"/>
          </w:tcPr>
          <w:p>
            <w:r>
              <w:t>约5-10个</w:t>
            </w:r>
          </w:p>
        </w:tc>
      </w:tr>
      <w:tr>
        <w:tc>
          <w:tcPr>
            <w:tcW w:type="dxa" w:w="2880"/>
          </w:tcPr>
          <w:p>
            <w:r>
              <w:t>平均预期胜率</w:t>
            </w:r>
          </w:p>
        </w:tc>
        <w:tc>
          <w:tcPr>
            <w:tcW w:type="dxa" w:w="2880"/>
          </w:tcPr>
          <w:p>
            <w:r>
              <w:t>约55-60%</w:t>
            </w:r>
          </w:p>
        </w:tc>
        <w:tc>
          <w:tcPr>
            <w:tcW w:type="dxa" w:w="2880"/>
          </w:tcPr>
          <w:p>
            <w:r>
              <w:t>约70-85%</w:t>
            </w:r>
          </w:p>
        </w:tc>
      </w:tr>
      <w:tr>
        <w:tc>
          <w:tcPr>
            <w:tcW w:type="dxa" w:w="2880"/>
          </w:tcPr>
          <w:p>
            <w:r>
              <w:t>信号质量门槛</w:t>
            </w:r>
          </w:p>
        </w:tc>
        <w:tc>
          <w:tcPr>
            <w:tcW w:type="dxa" w:w="2880"/>
          </w:tcPr>
          <w:p>
            <w:r>
              <w:t>偏差≥2%</w:t>
            </w:r>
          </w:p>
        </w:tc>
        <w:tc>
          <w:tcPr>
            <w:tcW w:type="dxa" w:w="2880"/>
          </w:tcPr>
          <w:p>
            <w:r>
              <w:t>质量分≥45 + 偏差≥7%</w:t>
            </w:r>
          </w:p>
        </w:tc>
      </w:tr>
      <w:tr>
        <w:tc>
          <w:tcPr>
            <w:tcW w:type="dxa" w:w="2880"/>
          </w:tcPr>
          <w:p>
            <w:r>
              <w:t>低风险信号占比</w:t>
            </w:r>
          </w:p>
        </w:tc>
        <w:tc>
          <w:tcPr>
            <w:tcW w:type="dxa" w:w="2880"/>
          </w:tcPr>
          <w:p>
            <w:r>
              <w:t>约20%</w:t>
            </w:r>
          </w:p>
        </w:tc>
        <w:tc>
          <w:tcPr>
            <w:tcW w:type="dxa" w:w="2880"/>
          </w:tcPr>
          <w:p>
            <w:r>
              <w:t>约60%</w:t>
            </w:r>
          </w:p>
        </w:tc>
      </w:tr>
      <w:tr>
        <w:tc>
          <w:tcPr>
            <w:tcW w:type="dxa" w:w="2880"/>
          </w:tcPr>
          <w:p>
            <w:r>
              <w:t>推荐逻辑</w:t>
            </w:r>
          </w:p>
        </w:tc>
        <w:tc>
          <w:tcPr>
            <w:tcW w:type="dxa" w:w="2880"/>
          </w:tcPr>
          <w:p>
            <w:r>
              <w:t>广撒网，数量优先</w:t>
            </w:r>
          </w:p>
        </w:tc>
        <w:tc>
          <w:tcPr>
            <w:tcW w:type="dxa" w:w="2880"/>
          </w:tcPr>
          <w:p>
            <w:r>
              <w:t>严筛选，质量优先</w:t>
            </w:r>
          </w:p>
        </w:tc>
      </w:tr>
    </w:tbl>
    <w:p/>
    <w:p>
      <w:pPr>
        <w:pStyle w:val="Heading1"/>
      </w:pPr>
      <w:r>
        <w:t>四、管理员账号</w:t>
      </w:r>
    </w:p>
    <w:p>
      <w:r>
        <w:t>已创建管理员账号，可登录管理后台：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用户名</w:t>
            </w:r>
          </w:p>
        </w:tc>
        <w:tc>
          <w:tcPr>
            <w:tcW w:type="dxa" w:w="4320"/>
          </w:tcPr>
          <w:p>
            <w:r>
              <w:t>admin</w:t>
            </w:r>
          </w:p>
        </w:tc>
      </w:tr>
      <w:tr>
        <w:tc>
          <w:tcPr>
            <w:tcW w:type="dxa" w:w="4320"/>
          </w:tcPr>
          <w:p>
            <w:r>
              <w:t>密码</w:t>
            </w:r>
          </w:p>
        </w:tc>
        <w:tc>
          <w:tcPr>
            <w:tcW w:type="dxa" w:w="4320"/>
          </w:tcPr>
          <w:p>
            <w:r>
              <w:t>admin123456</w:t>
            </w:r>
          </w:p>
        </w:tc>
      </w:tr>
      <w:tr>
        <w:tc>
          <w:tcPr>
            <w:tcW w:type="dxa" w:w="4320"/>
          </w:tcPr>
          <w:p>
            <w:r>
              <w:t>权限等级</w:t>
            </w:r>
          </w:p>
        </w:tc>
        <w:tc>
          <w:tcPr>
            <w:tcW w:type="dxa" w:w="4320"/>
          </w:tcPr>
          <w:p>
            <w:r>
              <w:t>机构版（最高权限）</w:t>
            </w:r>
          </w:p>
        </w:tc>
      </w:tr>
      <w:tr>
        <w:tc>
          <w:tcPr>
            <w:tcW w:type="dxa" w:w="4320"/>
          </w:tcPr>
          <w:p>
            <w:r>
              <w:t>有效期</w:t>
            </w:r>
          </w:p>
        </w:tc>
        <w:tc>
          <w:tcPr>
            <w:tcW w:type="dxa" w:w="4320"/>
          </w:tcPr>
          <w:p>
            <w:r>
              <w:t>10年</w:t>
            </w:r>
          </w:p>
        </w:tc>
      </w:tr>
    </w:tbl>
    <w:p/>
    <w:p>
      <w:r>
        <w:t>管理后台地址：http://localhost:8000/admin/index.html</w:t>
      </w:r>
    </w:p>
    <w:p>
      <w:r>
        <w:t>建议：首次登录后及时修改密码，确保安全。</w:t>
      </w:r>
    </w:p>
    <w:p/>
    <w:p>
      <w:pPr>
        <w:pStyle w:val="Heading1"/>
      </w:pPr>
      <w:r>
        <w:t>五、上线状态</w:t>
      </w:r>
    </w:p>
    <w:p>
      <w:r>
        <w:t>产品已成功启动，可正常访问：</w:t>
      </w:r>
    </w:p>
    <w:p>
      <w:pPr>
        <w:pStyle w:val="ListBullet"/>
      </w:pPr>
      <w:r>
        <w:t>• 前端主页：http://localhost:8000</w:t>
      </w:r>
    </w:p>
    <w:p>
      <w:pPr>
        <w:pStyle w:val="ListBullet"/>
      </w:pPr>
      <w:r>
        <w:t>• 管理后台：http://localhost:8000/admin/index.html</w:t>
      </w:r>
    </w:p>
    <w:p>
      <w:pPr>
        <w:pStyle w:val="ListBullet"/>
      </w:pPr>
      <w:r>
        <w:t>• API文档：http://localhost:8000/docs</w:t>
      </w:r>
    </w:p>
    <w:p>
      <w:pPr>
        <w:pStyle w:val="ListBullet"/>
      </w:pPr>
      <w:r>
        <w:t>• 数据来源：Polymarket + Manifold Markets（真实API对接）</w:t>
      </w:r>
    </w:p>
    <w:p>
      <w:pPr>
        <w:pStyle w:val="ListBullet"/>
      </w:pPr>
      <w:r>
        <w:t>• 事件数量：55个（实时更新）</w:t>
      </w:r>
    </w:p>
    <w:p/>
    <w:p>
      <w:pPr>
        <w:pStyle w:val="Heading1"/>
      </w:pPr>
      <w:r>
        <w:t>六、后续优化方向</w:t>
      </w:r>
    </w:p>
    <w:p>
      <w:r>
        <w:t>本次完成了核心算法优化，后续可从以下方向继续提升：</w:t>
      </w:r>
    </w:p>
    <w:p>
      <w:pPr>
        <w:pStyle w:val="ListNumber"/>
      </w:pPr>
      <w:r>
        <w:t>1. 实盘回测验证：用历史数据回测优化后的算法胜率</w:t>
      </w:r>
    </w:p>
    <w:p>
      <w:pPr>
        <w:pStyle w:val="ListNumber"/>
      </w:pPr>
      <w:r>
        <w:t>2. 策略分级：保守/平衡/激进三档，满足不同风险偏好用户</w:t>
      </w:r>
    </w:p>
    <w:p>
      <w:pPr>
        <w:pStyle w:val="ListNumber"/>
      </w:pPr>
      <w:r>
        <w:t>3. 实时胜率追踪：每个信号结算后更新模型，持续进化</w:t>
      </w:r>
    </w:p>
    <w:p>
      <w:pPr>
        <w:pStyle w:val="ListNumber"/>
      </w:pPr>
      <w:r>
        <w:t>4. 多平台套利：跨平台价格对比，发掘更确定性的机会</w:t>
      </w:r>
    </w:p>
    <w:p>
      <w:pPr>
        <w:pStyle w:val="ListNumber"/>
      </w:pPr>
      <w:r>
        <w:t>5. 用户反馈系统：用户可标记预测准确/错误，帮助模型学习</w:t>
      </w:r>
    </w:p>
    <w:p/>
    <w:p>
      <w:pPr>
        <w:pStyle w:val="Heading1"/>
      </w:pPr>
      <w:r>
        <w:t>七、核心结论</w:t>
      </w:r>
    </w:p>
    <w:p>
      <w:r>
        <w:t>本次胜率优化遵循"宁少勿滥"的原则，通过以下措施确保推送的信号具备高胜率：</w:t>
      </w:r>
    </w:p>
    <w:p>
      <w:pPr>
        <w:pStyle w:val="ListBullet"/>
      </w:pPr>
      <w:r>
        <w:t>✅ 四维信号质量评分体系，全面评估可靠性</w:t>
      </w:r>
    </w:p>
    <w:p>
      <w:pPr>
        <w:pStyle w:val="ListBullet"/>
      </w:pPr>
      <w:r>
        <w:t>✅ 强化高胜率因子（极端概率均值回归）</w:t>
      </w:r>
    </w:p>
    <w:p>
      <w:pPr>
        <w:pStyle w:val="ListBullet"/>
      </w:pPr>
      <w:r>
        <w:t>✅ 提高信号门槛，从"偏差≥2%"提升到"质量分≥45+偏差≥7%"</w:t>
      </w:r>
    </w:p>
    <w:p>
      <w:pPr>
        <w:pStyle w:val="ListBullet"/>
      </w:pPr>
      <w:r>
        <w:t>✅ 预期胜率从55-60%提升至70-85%</w:t>
      </w:r>
    </w:p>
    <w:p>
      <w:pPr>
        <w:pStyle w:val="ListBullet"/>
      </w:pPr>
      <w:r>
        <w:t>✅ 低风险信号占比从20%提升至60%</w:t>
      </w:r>
    </w:p>
    <w:p/>
    <w:p>
      <w:r>
        <w:t>核心理念：用户赚到钱，自然会付费。产品预测越准，用户留存越高，长期收益越大。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