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Calibri" w:hAnsi="Calibri" w:eastAsia="Malgun Gothic"/>
          <w:b/>
          <w:color w:val="141414"/>
          <w:sz w:val="44"/>
        </w:rPr>
        <w:t>Neural Encoder/Decoder 쉬운 보고서</w:t>
      </w:r>
    </w:p>
    <w:p>
      <w:pPr>
        <w:spacing w:before="0" w:after="280" w:line="264" w:lineRule="auto"/>
      </w:pPr>
      <w:r>
        <w:rPr>
          <w:rFonts w:ascii="Calibri" w:hAnsi="Calibri" w:eastAsia="Malgun Gothic"/>
          <w:color w:val="606A74"/>
          <w:sz w:val="24"/>
        </w:rPr>
        <w:t>Cityscapes로 학습한 실제 semantic encoder/decoder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 w:eastAsia="Malgun Gothic"/>
                <w:b/>
                <w:color w:val="1F4D78"/>
                <w:sz w:val="22"/>
              </w:rPr>
              <w:t>결론: 이 폴더는 논문에 나온 semantic encoder/decoder를 작은 딥러닝 모델로 직접 구현한 실험이다.</w:t>
            </w:r>
          </w:p>
        </w:tc>
      </w:tr>
    </w:tbl>
    <w:p/>
    <w:p>
      <w:pPr>
        <w:pStyle w:val="Heading1"/>
      </w:pPr>
      <w:r>
        <w:t>1. 이 폴더는 무엇인가</w:t>
      </w:r>
    </w:p>
    <w:p>
      <w:pPr>
        <w:spacing w:before="0" w:after="120" w:line="264" w:lineRule="auto"/>
      </w:pPr>
      <w:r>
        <w:rPr>
          <w:rFonts w:ascii="Calibri" w:hAnsi="Calibri" w:eastAsia="Malgun Gothic"/>
          <w:b w:val="0"/>
          <w:sz w:val="22"/>
        </w:rPr>
        <w:t>RGB 이미지를 encoder에 넣으면 작은 latent feature가 나오고, decoder가 이를 semantic segmentation map으로 복원한다.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입력: Cityscapes RGB image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출력: semantic segmentation map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목표: 논문 Table III의 rho_c=0.104와 비슷한 압축률 만들기</w:t>
      </w:r>
    </w:p>
    <w:p>
      <w:pPr>
        <w:pStyle w:val="Heading1"/>
      </w:pPr>
      <w:r>
        <w:t>2. 모델 결과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c>
          <w:tcPr>
            <w:tcW w:type="dxa" w:w="2880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항목</w:t>
            </w:r>
          </w:p>
        </w:tc>
        <w:tc>
          <w:tcPr>
            <w:tcW w:type="dxa" w:w="6480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값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모델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paperlite, latent 20 channels, 1/8 해상도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rho_c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0.10417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pixel accuracy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0.7408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mIoU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0.2135</w:t>
            </w:r>
          </w:p>
        </w:tc>
      </w:tr>
      <w:tr>
        <w:tc>
          <w:tcPr>
            <w:tcW w:type="dxa" w:w="28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encode/decode/full</w:t>
            </w:r>
          </w:p>
        </w:tc>
        <w:tc>
          <w:tcPr>
            <w:tcW w:type="dxa" w:w="6480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1.75 / 2.53 / 4.48 ms</w:t>
            </w:r>
          </w:p>
        </w:tc>
      </w:tr>
    </w:tbl>
    <w:p/>
    <w:p>
      <w:pPr>
        <w:pStyle w:val="Heading1"/>
      </w:pPr>
      <w:r>
        <w:t>3. AirTalking에 넣었을 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12"/>
        <w:gridCol w:w="1944"/>
        <w:gridCol w:w="1944"/>
        <w:gridCol w:w="1944"/>
        <w:gridCol w:w="2016"/>
      </w:tblGrid>
      <w:tr>
        <w:tc>
          <w:tcPr>
            <w:tcW w:type="dxa" w:w="1512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정책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semantic 완료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nonsemantic 완료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semantic 평균시간</w:t>
            </w:r>
          </w:p>
        </w:tc>
        <w:tc>
          <w:tcPr>
            <w:tcW w:type="dxa" w:w="2016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nonsemantic 평균시간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LinUCB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127.9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66.5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26.45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81.98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SA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101.4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68.3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46.81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76.57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Greedy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184.0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75.9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10.63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66.19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MCTS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160.8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77.0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19.86</w:t>
            </w:r>
          </w:p>
        </w:tc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63.76</w:t>
            </w:r>
          </w:p>
        </w:tc>
      </w:tr>
    </w:tbl>
    <w:p/>
    <w:p>
      <w:pPr>
        <w:pStyle w:val="Heading1"/>
      </w:pPr>
      <w:r>
        <w:t>4. 한계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논문 원본 encoder/decoder 코드와 weight는 공개되지 않았다.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현재 모델은 작은 CPU 학습 모델이라 mIoU가 높지는 않다.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그래도 실제 neural encoder/decoder를 만들고 rho_c를 논문값에 가깝게 맞춘 점이 핵심이다.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06A74"/>
        <w:sz w:val="18"/>
      </w:rPr>
      <w:t>AirTalking 연구 정리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color w:val="606A74"/>
        <w:sz w:val="18"/>
      </w:rPr>
      <w:t>Neural Encoder/Decoder 쉬운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color w:val="1414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