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  <w:jc w:val="left"/>
      </w:pPr>
      <w:r>
        <w:rPr>
          <w:rFonts w:ascii="Arial" w:hAnsi="Arial" w:eastAsia="等线"/>
          <w:b/>
          <w:color w:val="147D78"/>
          <w:sz w:val="18"/>
        </w:rPr>
        <w:t>DELIVERY REMEDIATION PLAN</w:t>
      </w:r>
    </w:p>
    <w:p>
      <w:pPr>
        <w:spacing w:after="160"/>
      </w:pPr>
      <w:r>
        <w:rPr>
          <w:rFonts w:ascii="Arial" w:hAnsi="Arial" w:eastAsia="黑体"/>
          <w:b/>
          <w:color w:val="17324D"/>
          <w:sz w:val="56"/>
        </w:rPr>
        <w:t>TPC CommerceInsight</w:t>
      </w:r>
    </w:p>
    <w:p>
      <w:pPr>
        <w:spacing w:after="480"/>
      </w:pPr>
      <w:r>
        <w:rPr>
          <w:rFonts w:ascii="Arial" w:hAnsi="Arial" w:eastAsia="黑体"/>
          <w:b/>
          <w:color w:val="147D78"/>
          <w:sz w:val="38"/>
        </w:rPr>
        <w:t>交付标准问题修复方案</w:t>
      </w:r>
    </w:p>
    <w:p>
      <w:pPr>
        <w:spacing w:after="360"/>
        <w:pBdr>
          <w:bottom w:val="single" w:sz="18" w:color="147D78"/>
        </w:pBdr>
      </w:pPr>
    </w:p>
    <w:p>
      <w:pPr>
        <w:spacing w:after="80" w:line="276" w:lineRule="auto"/>
      </w:pPr>
      <w:r>
        <w:rPr>
          <w:rFonts w:ascii="Arial" w:hAnsi="Arial" w:eastAsia="等线"/>
          <w:b/>
          <w:color w:val="17324D"/>
          <w:sz w:val="21"/>
        </w:rPr>
        <w:t>文档用途：</w:t>
      </w:r>
      <w:r>
        <w:rPr>
          <w:rFonts w:ascii="Arial" w:hAnsi="Arial" w:eastAsia="等线"/>
          <w:color w:val="1F2933"/>
          <w:sz w:val="21"/>
        </w:rPr>
        <w:t>指导书严格验收、代码审查闭环与跨设备交付</w:t>
      </w:r>
    </w:p>
    <w:p>
      <w:pPr>
        <w:spacing w:after="80" w:line="276" w:lineRule="auto"/>
      </w:pPr>
      <w:r>
        <w:rPr>
          <w:rFonts w:ascii="Arial" w:hAnsi="Arial" w:eastAsia="等线"/>
          <w:b/>
          <w:color w:val="17324D"/>
          <w:sz w:val="21"/>
        </w:rPr>
        <w:t>当前状态：</w:t>
      </w:r>
      <w:r>
        <w:rPr>
          <w:rFonts w:ascii="Arial" w:hAnsi="Arial" w:eastAsia="等线"/>
          <w:color w:val="1F2933"/>
          <w:sz w:val="21"/>
        </w:rPr>
        <w:t>功能审查通过，严格交付仍有阻塞项</w:t>
      </w:r>
    </w:p>
    <w:p>
      <w:pPr>
        <w:spacing w:after="80" w:line="276" w:lineRule="auto"/>
      </w:pPr>
      <w:r>
        <w:rPr>
          <w:rFonts w:ascii="Arial" w:hAnsi="Arial" w:eastAsia="等线"/>
          <w:b/>
          <w:color w:val="17324D"/>
          <w:sz w:val="21"/>
        </w:rPr>
        <w:t>目标版本：</w:t>
      </w:r>
      <w:r>
        <w:rPr>
          <w:rFonts w:ascii="Arial" w:hAnsi="Arial" w:eastAsia="等线"/>
          <w:color w:val="1F2933"/>
          <w:sz w:val="21"/>
        </w:rPr>
        <w:t>PostgreSQL 16 + Spring Boot + Vue 3 + TPC-H/TPC-C</w:t>
      </w:r>
    </w:p>
    <w:p>
      <w:pPr>
        <w:spacing w:after="80" w:line="276" w:lineRule="auto"/>
      </w:pPr>
      <w:r>
        <w:rPr>
          <w:rFonts w:ascii="Arial" w:hAnsi="Arial" w:eastAsia="等线"/>
          <w:b/>
          <w:color w:val="17324D"/>
          <w:sz w:val="21"/>
        </w:rPr>
        <w:t>编制日期：</w:t>
      </w:r>
      <w:r>
        <w:rPr>
          <w:rFonts w:ascii="Arial" w:hAnsi="Arial" w:eastAsia="等线"/>
          <w:color w:val="1F2933"/>
          <w:sz w:val="21"/>
        </w:rPr>
        <w:t>2026 年 7 月 13 日</w:t>
      </w:r>
    </w:p>
    <w:p>
      <w:pPr>
        <w:spacing w:after="160"/>
      </w:pPr>
    </w:p>
    <w:p>
      <w:pPr>
        <w:spacing w:before="80" w:after="160" w:line="300" w:lineRule="auto"/>
        <w:ind w:left="142" w:right="142"/>
        <w:shd w:fill="E8F4F2"/>
        <w:pBdr>
          <w:left w:val="single" w:sz="18" w:space="8" w:color="147D78"/>
        </w:pBdr>
      </w:pPr>
      <w:r>
        <w:rPr>
          <w:rFonts w:ascii="Arial" w:hAnsi="Arial" w:eastAsia="等线"/>
          <w:b/>
          <w:color w:val="147D78"/>
          <w:sz w:val="21"/>
        </w:rPr>
        <w:t xml:space="preserve">执行目标  </w:t>
      </w:r>
      <w:r>
        <w:rPr>
          <w:rFonts w:ascii="Arial" w:hAnsi="Arial" w:eastAsia="等线"/>
          <w:color w:val="1F2933"/>
          <w:sz w:val="21"/>
        </w:rPr>
        <w:t>将当前“代码可运行、审查通过”的状态提升为“满足指导书硬性指标、可由其他设备复现、远端仓库材料完整”的最终交付状态。</w:t>
      </w:r>
    </w:p>
    <w:p>
      <w:r>
        <w:br w:type="page"/>
      </w: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1. 验收结论与修复范围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当前数据库迁移、正式 COPY、TPC-H/TPC-C 并发测试、性能结果入库、真实 PostgreSQL 联调和最终报告均已形成可验证成果。后端测试、前端构建、Docker 健康检查和 SF=0.1 全链路均已通过。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但按照课程指导书的完整硬性要求和跨设备交付标准，仍需解决正式数据规模不足、远端成果未完整提交、初始化脚本权限、Windows 启动入口以及若干业务功能与实验记录缺口。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  <w:tblHeader w:val="true"/>
          <w:cantSplit/>
        </w:trPr>
        <w:tc>
          <w:tcPr>
            <w:tcW w:type="dxa" w:w="8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15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2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达标条件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P0</w:t>
            </w:r>
          </w:p>
        </w:tc>
        <w:tc>
          <w:tcPr>
            <w:tcW w:type="dxa" w:w="215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正式数据规模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仅完成 SF=0.1</w:t>
            </w:r>
          </w:p>
        </w:tc>
        <w:tc>
          <w:tcPr>
            <w:tcW w:type="dxa" w:w="32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完成不低于 600M 的 SF=0.6 正式实验</w:t>
            </w:r>
          </w:p>
        </w:tc>
      </w:tr>
      <w:tr>
        <w:trPr>
          <w:cantSplit/>
        </w:trPr>
        <w:tc>
          <w:tcPr>
            <w:tcW w:type="dxa" w:w="850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P0</w:t>
            </w:r>
          </w:p>
        </w:tc>
        <w:tc>
          <w:tcPr>
            <w:tcW w:type="dxa" w:w="215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远端交付</w:t>
            </w:r>
          </w:p>
        </w:tc>
        <w:tc>
          <w:tcPr>
            <w:tcW w:type="dxa" w:w="294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本地提交和最终材料尚未完整推送</w:t>
            </w:r>
          </w:p>
        </w:tc>
        <w:tc>
          <w:tcPr>
            <w:tcW w:type="dxa" w:w="328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个人分支、develop 与最终提交分支状态清晰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P0</w:t>
            </w:r>
          </w:p>
        </w:tc>
        <w:tc>
          <w:tcPr>
            <w:tcW w:type="dxa" w:w="215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初始化脚本权限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Git 模式为 100644</w:t>
            </w:r>
          </w:p>
        </w:tc>
        <w:tc>
          <w:tcPr>
            <w:tcW w:type="dxa" w:w="32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Git 模式为 100755，LF 校验通过</w:t>
            </w:r>
          </w:p>
        </w:tc>
      </w:tr>
      <w:tr>
        <w:trPr>
          <w:cantSplit/>
        </w:trPr>
        <w:tc>
          <w:tcPr>
            <w:tcW w:type="dxa" w:w="850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P1</w:t>
            </w:r>
          </w:p>
        </w:tc>
        <w:tc>
          <w:tcPr>
            <w:tcW w:type="dxa" w:w="215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跨设备启动</w:t>
            </w:r>
          </w:p>
        </w:tc>
        <w:tc>
          <w:tcPr>
            <w:tcW w:type="dxa" w:w="294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Windows 文档引用不存在的 mvnw.cmd</w:t>
            </w:r>
          </w:p>
        </w:tc>
        <w:tc>
          <w:tcPr>
            <w:tcW w:type="dxa" w:w="328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仓库提供可执行入口并完成冷启动验证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P1</w:t>
            </w:r>
          </w:p>
        </w:tc>
        <w:tc>
          <w:tcPr>
            <w:tcW w:type="dxa" w:w="215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指导书功能缺口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TPC-C 明细计时等功能不完整</w:t>
            </w:r>
          </w:p>
        </w:tc>
        <w:tc>
          <w:tcPr>
            <w:tcW w:type="dxa" w:w="32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功能、测试、证据和报告形成闭环</w:t>
            </w:r>
          </w:p>
        </w:tc>
      </w:tr>
      <w:tr>
        <w:trPr>
          <w:cantSplit/>
        </w:trPr>
        <w:tc>
          <w:tcPr>
            <w:tcW w:type="dxa" w:w="850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P2</w:t>
            </w:r>
          </w:p>
        </w:tc>
        <w:tc>
          <w:tcPr>
            <w:tcW w:type="dxa" w:w="215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最终报告同步</w:t>
            </w:r>
          </w:p>
        </w:tc>
        <w:tc>
          <w:tcPr>
            <w:tcW w:type="dxa" w:w="294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报告基于 SF=0.1 证据</w:t>
            </w:r>
          </w:p>
        </w:tc>
        <w:tc>
          <w:tcPr>
            <w:tcW w:type="dxa" w:w="328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更新正式规模数据、截图、结论和限制说明</w:t>
            </w:r>
          </w:p>
        </w:tc>
      </w:tr>
    </w:tbl>
    <w:p>
      <w:pPr>
        <w:spacing w:after="20"/>
      </w:pPr>
    </w:p>
    <w:p>
      <w:pPr>
        <w:spacing w:before="80" w:after="160" w:line="300" w:lineRule="auto"/>
        <w:ind w:left="142" w:right="142"/>
        <w:shd w:fill="FDECEC"/>
        <w:pBdr>
          <w:left w:val="single" w:sz="18" w:space="8" w:color="B42318"/>
        </w:pBdr>
      </w:pPr>
      <w:r>
        <w:rPr>
          <w:rFonts w:ascii="Arial" w:hAnsi="Arial" w:eastAsia="等线"/>
          <w:b/>
          <w:color w:val="B42318"/>
          <w:sz w:val="21"/>
        </w:rPr>
        <w:t xml:space="preserve">判定口径  </w:t>
      </w:r>
      <w:r>
        <w:rPr>
          <w:rFonts w:ascii="Arial" w:hAnsi="Arial" w:eastAsia="等线"/>
          <w:color w:val="1F2933"/>
          <w:sz w:val="21"/>
        </w:rPr>
        <w:t>P0 未关闭前不得宣布最终交付完成；P1 应在正式提交前关闭，若确因课程范围调整不实施，必须在报告中明确说明并获得团队确认。</w:t>
      </w: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2. 总体实施顺序</w:t>
      </w:r>
    </w:p>
    <w:p>
      <w:pPr>
        <w:pStyle w:val="ListNumber"/>
        <w:spacing w:after="60" w:line="300" w:lineRule="auto"/>
        <w:ind w:left="454" w:hanging="215"/>
      </w:pPr>
      <w:r>
        <w:rPr>
          <w:rFonts w:ascii="Arial" w:hAnsi="Arial" w:eastAsia="等线"/>
          <w:color w:val="1F2933"/>
          <w:sz w:val="21"/>
        </w:rPr>
        <w:t>冻结当前 SF=0.1 证据并备份数据库，防止正式实验覆盖已有成果。</w:t>
      </w:r>
    </w:p>
    <w:p>
      <w:pPr>
        <w:pStyle w:val="ListNumber"/>
        <w:spacing w:after="60" w:line="300" w:lineRule="auto"/>
        <w:ind w:left="454" w:hanging="215"/>
      </w:pPr>
      <w:r>
        <w:rPr>
          <w:rFonts w:ascii="Arial" w:hAnsi="Arial" w:eastAsia="等线"/>
          <w:color w:val="1F2933"/>
          <w:sz w:val="21"/>
        </w:rPr>
        <w:t>修复脚本权限、Windows 启动入口和 Git 交付状态，确保其他设备可复现。</w:t>
      </w:r>
    </w:p>
    <w:p>
      <w:pPr>
        <w:pStyle w:val="ListNumber"/>
        <w:spacing w:after="60" w:line="300" w:lineRule="auto"/>
        <w:ind w:left="454" w:hanging="215"/>
      </w:pPr>
      <w:r>
        <w:rPr>
          <w:rFonts w:ascii="Arial" w:hAnsi="Arial" w:eastAsia="等线"/>
          <w:color w:val="1F2933"/>
          <w:sz w:val="21"/>
        </w:rPr>
        <w:t>补做 SF=0.6 正式数据、EXPLAIN、并发压测和结果入库。</w:t>
      </w:r>
    </w:p>
    <w:p>
      <w:pPr>
        <w:pStyle w:val="ListNumber"/>
        <w:spacing w:after="60" w:line="300" w:lineRule="auto"/>
        <w:ind w:left="454" w:hanging="215"/>
      </w:pPr>
      <w:r>
        <w:rPr>
          <w:rFonts w:ascii="Arial" w:hAnsi="Arial" w:eastAsia="等线"/>
          <w:color w:val="1F2933"/>
          <w:sz w:val="21"/>
        </w:rPr>
        <w:t>按“文档契约 → SQL → 后端 → 前端 → 测试”的顺序补齐指导书功能。</w:t>
      </w:r>
    </w:p>
    <w:p>
      <w:pPr>
        <w:pStyle w:val="ListNumber"/>
        <w:spacing w:after="60" w:line="300" w:lineRule="auto"/>
        <w:ind w:left="454" w:hanging="215"/>
      </w:pPr>
      <w:r>
        <w:rPr>
          <w:rFonts w:ascii="Arial" w:hAnsi="Arial" w:eastAsia="等线"/>
          <w:color w:val="1F2933"/>
          <w:sz w:val="21"/>
        </w:rPr>
        <w:t>完成全量回归、具名截图和最终报告更新，再合入 develop 与最终提交分支。</w:t>
      </w:r>
    </w:p>
    <w:p>
      <w:pPr>
        <w:pStyle w:val="Heading1"/>
        <w:keepNext/>
        <w:pageBreakBefore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3. 交付与跨设备启动修复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3.1 初始化脚本可执行权限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初始化脚本内容和 LF 换行已经通过检查，但 Git 索引仍记录为普通文件。应显式登记可执行位，并在提交前验证。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git update-index --chmod=+x db/init/00_run_sql_assets.sh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git ls-files --stage db/init/00_run_sql_assets.sh</w:t>
      </w:r>
    </w:p>
    <w:p>
      <w:pPr>
        <w:spacing w:after="60"/>
      </w:pP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验收输出第一列必须为 100755。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重新执行 verify-environment.ps1，确认 LF、V13、COPY 延迟资产和脚本入口全部通过。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3.2 Windows 后端启动入口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仓库文档在 PowerShell 示例中使用 mvnw.cmd，但当前只存在 Bash 入口。建议新增 backend/mvnw.cmd，复用 backend/.mvn/apache-maven-3.9.9/bin/mvn.cmd，并同步根 README、后端 README 和前端联调说明。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cd backend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.\mvnw.cmd test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.\mvnw.cmd spring-boot:run -Dspring-boot.run.profiles=dev</w:t>
      </w:r>
    </w:p>
    <w:p>
      <w:pPr>
        <w:spacing w:after="60"/>
      </w:pP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在未配置全局 Maven 的 Windows 环境中完成测试和 dev profile 启动。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JDK 固定为 17，启动日志必须显示真实 PostgreSQL 连接。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3.3 Git 与最终材料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最终提交只保留一份明确命名的课程设计报告；中间版和个人补全版保留在本地归档，不进入最终提交包。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cantSplit/>
          <w:tblHeader w:val="true"/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39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最终课程设计报告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纳入版本控制</w:t>
            </w:r>
          </w:p>
        </w:tc>
        <w:tc>
          <w:tcPr>
            <w:tcW w:type="dxa" w:w="39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文件可打开、无修订痕迹、名称唯一</w:t>
            </w:r>
          </w:p>
        </w:tc>
      </w:tr>
      <w:tr>
        <w:trPr>
          <w:cantSplit/>
        </w:trPr>
        <w:tc>
          <w:tcPr>
            <w:tcW w:type="dxa" w:w="226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代码审查修复报告</w:t>
            </w:r>
          </w:p>
        </w:tc>
        <w:tc>
          <w:tcPr>
            <w:tcW w:type="dxa" w:w="306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作为过程材料提交或放入 docs</w:t>
            </w:r>
          </w:p>
        </w:tc>
        <w:tc>
          <w:tcPr>
            <w:tcW w:type="dxa" w:w="3912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与最终代码结论一致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SF=0.6 日志和结果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提交代表性文本、JSON、CSV</w:t>
            </w:r>
          </w:p>
        </w:tc>
        <w:tc>
          <w:tcPr>
            <w:tcW w:type="dxa" w:w="39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不提交原始大规模数据文件</w:t>
            </w:r>
          </w:p>
        </w:tc>
      </w:tr>
      <w:tr>
        <w:trPr>
          <w:cantSplit/>
        </w:trPr>
        <w:tc>
          <w:tcPr>
            <w:tcW w:type="dxa" w:w="226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具名截图</w:t>
            </w:r>
          </w:p>
        </w:tc>
        <w:tc>
          <w:tcPr>
            <w:tcW w:type="dxa" w:w="306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提交到 report/screenshots</w:t>
            </w:r>
          </w:p>
        </w:tc>
        <w:tc>
          <w:tcPr>
            <w:tcW w:type="dxa" w:w="3912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命名包含日期、模块和数据规模</w:t>
            </w:r>
          </w:p>
        </w:tc>
      </w:tr>
    </w:tbl>
    <w:p>
      <w:pPr>
        <w:spacing w:after="20"/>
      </w:pP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git status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git diff --check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git add &lt;确认后的交付文件&gt;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git commit -m "docs(delivery): finalize strict acceptance materials"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git push origin dev/d-devops-performance-report</w:t>
      </w:r>
    </w:p>
    <w:p>
      <w:pPr>
        <w:spacing w:after="60"/>
      </w:pPr>
    </w:p>
    <w:p>
      <w:pPr>
        <w:spacing w:before="80" w:after="160" w:line="300" w:lineRule="auto"/>
        <w:ind w:left="142" w:right="142"/>
        <w:shd w:fill="FFF4E5"/>
        <w:pBdr>
          <w:left w:val="single" w:sz="18" w:space="8" w:color="B54708"/>
        </w:pBdr>
      </w:pPr>
      <w:r>
        <w:rPr>
          <w:rFonts w:ascii="Arial" w:hAnsi="Arial" w:eastAsia="等线"/>
          <w:b/>
          <w:color w:val="B54708"/>
          <w:sz w:val="21"/>
        </w:rPr>
        <w:t xml:space="preserve">注意  </w:t>
      </w:r>
      <w:r>
        <w:rPr>
          <w:rFonts w:ascii="Arial" w:hAnsi="Arial" w:eastAsia="等线"/>
          <w:color w:val="1F2933"/>
          <w:sz w:val="21"/>
        </w:rPr>
        <w:t>推送前先排查本机指向 127.0.0.1 的失效 Git 代理；不要在无法 fetch 最新 develop 的情况下盲目合并。</w:t>
      </w: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4. SF=0.6 正式性能证据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4.1 资源与备份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SF=0.6 用于满足指导书“不低于 600M”的数据规模要求。正式执行前应预留至少 10GB 可用空间，并备份当前 SF=0.1 数据库或 Docker volume。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保留现有 SF=0.1 行数、EXPLAIN、性能结果和截图。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确认 Docker Desktop 磁盘镜像位置和可用空间。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正式重置必须使用 -Force，并在日志中保留风险确认信息。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4.2 生成、重建与 COPY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powershell -NoProfile -ExecutionPolicy Bypass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-File db\scripts\generate-tpch.ps1 -ScaleFactor 0.6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$env:DEFER_POST_COPY_ASSETS="true"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$env:LOAD_SAMPLE_DATA="false"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$env:LOAD_BASELINE_INDEXES="false"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powershell -NoProfile -ExecutionPolicy Bypass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-File db\scripts\reset-db.ps1 -Force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powershell -NoProfile -ExecutionPolicy Bypass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-File db\scripts\load-tpch.ps1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-ScaleFactor 0.6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-DataDir &lt;SF0.6数据目录&gt;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-FileExtension tbl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-FinalizeSchema</w:t>
      </w:r>
    </w:p>
    <w:p>
      <w:pPr>
        <w:spacing w:after="60"/>
      </w:pP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正式导入顺序保持为 V1/V2/V3 → COPY → V4/V8/V9/V13 → V10。导入完成后执行八表行数统计，并核对以下数量级。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cantSplit/>
          <w:tblHeader w:val="true"/>
          <w:cantSplit/>
        </w:trPr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表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SF=0.6 预期行数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核对方式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region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5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精确</w:t>
            </w:r>
          </w:p>
        </w:tc>
      </w:tr>
      <w:tr>
        <w:trPr>
          <w:cantSplit/>
        </w:trPr>
        <w:tc>
          <w:tcPr>
            <w:tcW w:type="dxa" w:w="255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nation</w:t>
            </w:r>
          </w:p>
        </w:tc>
        <w:tc>
          <w:tcPr>
            <w:tcW w:type="dxa" w:w="289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25</w:t>
            </w:r>
          </w:p>
        </w:tc>
        <w:tc>
          <w:tcPr>
            <w:tcW w:type="dxa" w:w="379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精确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supplier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6,000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精确</w:t>
            </w:r>
          </w:p>
        </w:tc>
      </w:tr>
      <w:tr>
        <w:trPr>
          <w:cantSplit/>
        </w:trPr>
        <w:tc>
          <w:tcPr>
            <w:tcW w:type="dxa" w:w="255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customer</w:t>
            </w:r>
          </w:p>
        </w:tc>
        <w:tc>
          <w:tcPr>
            <w:tcW w:type="dxa" w:w="289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90,000</w:t>
            </w:r>
          </w:p>
        </w:tc>
        <w:tc>
          <w:tcPr>
            <w:tcW w:type="dxa" w:w="379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精确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part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120,000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精确</w:t>
            </w:r>
          </w:p>
        </w:tc>
      </w:tr>
      <w:tr>
        <w:trPr>
          <w:cantSplit/>
        </w:trPr>
        <w:tc>
          <w:tcPr>
            <w:tcW w:type="dxa" w:w="255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partsupp</w:t>
            </w:r>
          </w:p>
        </w:tc>
        <w:tc>
          <w:tcPr>
            <w:tcW w:type="dxa" w:w="289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480,000</w:t>
            </w:r>
          </w:p>
        </w:tc>
        <w:tc>
          <w:tcPr>
            <w:tcW w:type="dxa" w:w="379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精确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orders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900,000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精确</w:t>
            </w:r>
          </w:p>
        </w:tc>
      </w:tr>
      <w:tr>
        <w:trPr>
          <w:cantSplit/>
        </w:trPr>
        <w:tc>
          <w:tcPr>
            <w:tcW w:type="dxa" w:w="255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lineitem</w:t>
            </w:r>
          </w:p>
        </w:tc>
        <w:tc>
          <w:tcPr>
            <w:tcW w:type="dxa" w:w="289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约 3,600,000</w:t>
            </w:r>
          </w:p>
        </w:tc>
        <w:tc>
          <w:tcPr>
            <w:tcW w:type="dxa" w:w="379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以 dbgen 实际结果为准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4.3 EXPLAIN 与并发测试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powershell -NoProfile -ExecutionPolicy Bypass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-File db\scripts\run-tpch-explain.ps1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-IndexMode without_index -Query all -ScaleFactor 0.6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powershell -NoProfile -ExecutionPolicy Bypass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-File db\scripts\run-tpch-explain.ps1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-IndexMode with_index -Query all -ScaleFactor 0.6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python test\tpch_concurrent_test.py --query all --threads 4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--requests 20 --username admin --password admin123 --scale-factor 0.6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python test\tpcc_concurrent_test.py --transaction all --threads 4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--requests 20 --username admin --password admin123 --scale-factor 0.6</w:t>
      </w:r>
    </w:p>
    <w:p>
      <w:pPr>
        <w:spacing w:after="60"/>
      </w:pP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归档 Q1/Q5/Q12/Q14 各两份执行计划，共 8 份。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归档 6 组性能 JSON、summary CSV、samples CSV 和接口响应。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记录线程数、请求数、成功/失败数、平均/最大/最小延迟、QPS/TPS 和数据规模。</w:t>
      </w: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5. TPC-C 明细计时与执行计划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5.1 API 与后端计时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在事务总耗时之外，为 New-Order 和 Payment 的关键 SQL 增加独立计时，并在响应和开发日志中保留 statementTimings。跨层字段应先写入 API 契约，再修改实现。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{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"transactionId": "NO-...",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"status": "committed",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"elapsedMs": 52,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"statementTimings": [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  {"statement": "updateDistrict", "elapsedMs": 3},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  {"statement": "insertOrder", "elapsedMs": 2},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  {"statement": "updateStock", "elapsedMs": 5}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]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}</w:t>
      </w:r>
    </w:p>
    <w:p>
      <w:pPr>
        <w:spacing w:after="60"/>
      </w:pP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New-Order 至少记录 district、orders、new_order、stock、order_line。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Payment 至少记录 warehouse、district、customer、history。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失败与回滚路径同样保留已执行语句耗时和失败位置。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前端事务结果区增加 SQL 耗时明细表。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5.2 TPC-C EXPLAIN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新增独立脚本 run-tpcc-explain.ps1。对会修改数据的语句必须在事务中执行 EXPLAIN ANALYZE 并回滚，避免破坏演示数据。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BEGIN;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EXPLAIN (ANALYZE, BUFFERS, FORMAT TEXT)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UPDATE stock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SET s_quantity = s_quantity - 1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WHERE s_w_id = 1 AND s_i_id = 1001;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ROLLBACK;</w:t>
      </w:r>
    </w:p>
    <w:p>
      <w:pPr>
        <w:spacing w:after="60"/>
      </w:pP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至少保存 New-Order 与 Payment 两组代表性计划。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报告解释扫描方式、索引使用、锁与更新成本。</w:t>
      </w: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6. 业务查询与结果导出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6.1 客户选项接口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客户查询页面不再固定三个国家。新增客户选项接口，返回全部国家，并支持客户名称远程搜索，避免一次加载 15,000 个客户名称。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GET /api/query/customer-options?keyword=&lt;可选&gt;&amp;limit=50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{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"nations": ["ALGERIA", "ARGENTINA", "BRAZIL"],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"customers": [{"customerKey": 1, "customerName": "Customer#000000001"}]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}</w:t>
      </w:r>
    </w:p>
    <w:p>
      <w:pPr>
        <w:spacing w:after="60"/>
      </w:pP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6.2 当前查询结果导出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在客户查询、订单收入和零部件供应页面增加“导出当前结果”命令。导出字段与页面结果一致，并使用查询名称和时间生成文件名。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优先使用 showSaveFilePicker 让用户选择路径。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不支持该 API 的浏览器回退为标准 CSV 下载。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导出结果包含表头，中文按 UTF-8 BOM 输出，避免 Excel 乱码。</w:t>
      </w: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7. 数据库配置管理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新增仅管理员可访问的数据库配置页面。配置能力采用白名单，避免向前端暴露数据库密码或开放任意 SQL。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  <w:tblHeader w:val="true"/>
          <w:cantSplit/>
        </w:trPr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展示</w:t>
            </w:r>
          </w:p>
        </w:tc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允许修改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PostgreSQL 版本、数据库名、主机、端口</w:t>
            </w:r>
          </w:p>
        </w:tc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只读</w:t>
            </w:r>
          </w:p>
        </w:tc>
      </w:tr>
      <w:tr>
        <w:trPr>
          <w:cantSplit/>
        </w:trPr>
        <w:tc>
          <w:tcPr>
            <w:tcW w:type="dxa" w:w="272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当前连接数、最大连接数</w:t>
            </w:r>
          </w:p>
        </w:tc>
        <w:tc>
          <w:tcPr>
            <w:tcW w:type="dxa" w:w="1247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147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379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只读监控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statement_timeout</w:t>
            </w:r>
          </w:p>
        </w:tc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白名单数值校验</w:t>
            </w:r>
          </w:p>
        </w:tc>
      </w:tr>
      <w:tr>
        <w:trPr>
          <w:cantSplit/>
        </w:trPr>
        <w:tc>
          <w:tcPr>
            <w:tcW w:type="dxa" w:w="272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idle_in_transaction_session_timeout</w:t>
            </w:r>
          </w:p>
        </w:tc>
        <w:tc>
          <w:tcPr>
            <w:tcW w:type="dxa" w:w="1247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147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379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白名单数值校验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应用连接池 connectionTimeout</w:t>
            </w:r>
          </w:p>
        </w:tc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通过连接池管理接口调整</w:t>
            </w:r>
          </w:p>
        </w:tc>
      </w:tr>
      <w:tr>
        <w:trPr>
          <w:cantSplit/>
        </w:trPr>
        <w:tc>
          <w:tcPr>
            <w:tcW w:type="dxa" w:w="272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work_mem</w:t>
            </w:r>
          </w:p>
        </w:tc>
        <w:tc>
          <w:tcPr>
            <w:tcW w:type="dxa" w:w="1247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147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379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限定范围并记录操作日志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shared_buffers</w:t>
            </w:r>
          </w:p>
        </w:tc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需重启，课程系统只读展示</w:t>
            </w:r>
          </w:p>
        </w:tc>
      </w:tr>
    </w:tbl>
    <w:p>
      <w:pPr>
        <w:spacing w:after="20"/>
      </w:pP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接口必须校验管理员角色。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响应中不得返回数据库密码。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每次修改记录操作者、旧值、新值、时间和结果。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新增后端权限、参数边界和持久化测试。</w:t>
      </w: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8. 批量导入 Insert/Update 与触发器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8.1 推荐方案：暂存表与触发器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为严格对应指导书，采用暂存表承接分批导入。后端按 50～500 行批量写入暂存表，由触发器完成清洗、目标表 Insert/Update 和错误日志记录。</w:t>
      </w:r>
    </w:p>
    <w:p>
      <w:pPr>
        <w:pStyle w:val="ListNumber"/>
        <w:spacing w:after="60" w:line="300" w:lineRule="auto"/>
        <w:ind w:left="454" w:hanging="215"/>
      </w:pPr>
      <w:r>
        <w:rPr>
          <w:rFonts w:ascii="Arial" w:hAnsi="Arial" w:eastAsia="等线"/>
          <w:color w:val="1F2933"/>
          <w:sz w:val="21"/>
        </w:rPr>
        <w:t>新增 orders_import_stage 与 lineitem_import_stage，包含 task_id 和 source_line。</w:t>
      </w:r>
    </w:p>
    <w:p>
      <w:pPr>
        <w:pStyle w:val="ListNumber"/>
        <w:spacing w:after="60" w:line="300" w:lineRule="auto"/>
        <w:ind w:left="454" w:hanging="215"/>
      </w:pPr>
      <w:r>
        <w:rPr>
          <w:rFonts w:ascii="Arial" w:hAnsi="Arial" w:eastAsia="等线"/>
          <w:color w:val="1F2933"/>
          <w:sz w:val="21"/>
        </w:rPr>
        <w:t>触发器执行非空、类型、范围、主键和外键检查。</w:t>
      </w:r>
    </w:p>
    <w:p>
      <w:pPr>
        <w:pStyle w:val="ListNumber"/>
        <w:spacing w:after="60" w:line="300" w:lineRule="auto"/>
        <w:ind w:left="454" w:hanging="215"/>
      </w:pPr>
      <w:r>
        <w:rPr>
          <w:rFonts w:ascii="Arial" w:hAnsi="Arial" w:eastAsia="等线"/>
          <w:color w:val="1F2933"/>
          <w:sz w:val="21"/>
        </w:rPr>
        <w:t>目标记录不存在时 Insert，存在时 Update。</w:t>
      </w:r>
    </w:p>
    <w:p>
      <w:pPr>
        <w:pStyle w:val="ListNumber"/>
        <w:spacing w:after="60" w:line="300" w:lineRule="auto"/>
        <w:ind w:left="454" w:hanging="215"/>
      </w:pPr>
      <w:r>
        <w:rPr>
          <w:rFonts w:ascii="Arial" w:hAnsi="Arial" w:eastAsia="等线"/>
          <w:color w:val="1F2933"/>
          <w:sz w:val="21"/>
        </w:rPr>
        <w:t>不合格行写入 import_error_log，记录原始行号、字段和值。</w:t>
      </w:r>
    </w:p>
    <w:p>
      <w:pPr>
        <w:pStyle w:val="ListNumber"/>
        <w:spacing w:after="60" w:line="300" w:lineRule="auto"/>
        <w:ind w:left="454" w:hanging="215"/>
      </w:pPr>
      <w:r>
        <w:rPr>
          <w:rFonts w:ascii="Arial" w:hAnsi="Arial" w:eastAsia="等线"/>
          <w:color w:val="1F2933"/>
          <w:sz w:val="21"/>
        </w:rPr>
        <w:t>单行错误不得终止后续合格数据导入。</w:t>
      </w:r>
    </w:p>
    <w:p>
      <w:pPr>
        <w:pStyle w:val="ListNumber"/>
        <w:spacing w:after="60" w:line="300" w:lineRule="auto"/>
        <w:ind w:left="454" w:hanging="215"/>
      </w:pPr>
      <w:r>
        <w:rPr>
          <w:rFonts w:ascii="Arial" w:hAnsi="Arial" w:eastAsia="等线"/>
          <w:color w:val="1F2933"/>
          <w:sz w:val="21"/>
        </w:rPr>
        <w:t>暂存数据处理完成后清理，目标表和错误日志保留。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8.2 最低限度方案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若工期不允许引入暂存表，至少将 orders 和 lineitem 的 ON CONFLICT DO NOTHING 改为 ON CONFLICT DO UPDATE，并同步修改接口统计、错误语义、测试和报告。该方案能覆盖 Insert/Update，但对指导书中的触发器协同要求支撑较弱。</w:t>
      </w:r>
    </w:p>
    <w:p>
      <w:pPr>
        <w:spacing w:before="80" w:after="160" w:line="300" w:lineRule="auto"/>
        <w:ind w:left="142" w:right="142"/>
        <w:shd w:fill="FFF4E5"/>
        <w:pBdr>
          <w:left w:val="single" w:sz="18" w:space="8" w:color="B54708"/>
        </w:pBdr>
      </w:pPr>
      <w:r>
        <w:rPr>
          <w:rFonts w:ascii="Arial" w:hAnsi="Arial" w:eastAsia="等线"/>
          <w:b/>
          <w:color w:val="B54708"/>
          <w:sz w:val="21"/>
        </w:rPr>
        <w:t xml:space="preserve">建议  </w:t>
      </w:r>
      <w:r>
        <w:rPr>
          <w:rFonts w:ascii="Arial" w:hAnsi="Arial" w:eastAsia="等线"/>
          <w:color w:val="1F2933"/>
          <w:sz w:val="21"/>
        </w:rPr>
        <w:t>优先采用暂存表方案；最低限度方案只能作为时间受限时的降级选择。</w:t>
      </w: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9. 回归测试与证据归档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  <w:tblHeader w:val="true"/>
          <w:cantSplit/>
        </w:trPr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验收层</w:t>
            </w:r>
          </w:p>
        </w:tc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必须执行</w:t>
            </w:r>
          </w:p>
        </w:tc>
        <w:tc>
          <w:tcPr>
            <w:tcW w:type="dxa" w:w="2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266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数据库</w:t>
            </w:r>
          </w:p>
        </w:tc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环境检查、迁移、重置保护、行数</w:t>
            </w:r>
          </w:p>
        </w:tc>
        <w:tc>
          <w:tcPr>
            <w:tcW w:type="dxa" w:w="2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全部通过，脚本模式 100755</w:t>
            </w:r>
          </w:p>
        </w:tc>
        <w:tc>
          <w:tcPr>
            <w:tcW w:type="dxa" w:w="266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日志与具名截图</w:t>
            </w:r>
          </w:p>
        </w:tc>
      </w:tr>
      <w:tr>
        <w:trPr>
          <w:cantSplit/>
        </w:trPr>
        <w:tc>
          <w:tcPr>
            <w:tcW w:type="dxa" w:w="130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后端</w:t>
            </w:r>
          </w:p>
        </w:tc>
        <w:tc>
          <w:tcPr>
            <w:tcW w:type="dxa" w:w="2835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普通测试、真实库集成测试</w:t>
            </w:r>
          </w:p>
        </w:tc>
        <w:tc>
          <w:tcPr>
            <w:tcW w:type="dxa" w:w="260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0 failure / 0 error</w:t>
            </w:r>
          </w:p>
        </w:tc>
        <w:tc>
          <w:tcPr>
            <w:tcW w:type="dxa" w:w="2665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测试摘要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前端</w:t>
            </w:r>
          </w:p>
        </w:tc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生产构建、真实 API 人工回归</w:t>
            </w:r>
          </w:p>
        </w:tc>
        <w:tc>
          <w:tcPr>
            <w:tcW w:type="dxa" w:w="2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构建成功，核心页面无错误</w:t>
            </w:r>
          </w:p>
        </w:tc>
        <w:tc>
          <w:tcPr>
            <w:tcW w:type="dxa" w:w="266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构建输出与截图</w:t>
            </w:r>
          </w:p>
        </w:tc>
      </w:tr>
      <w:tr>
        <w:trPr>
          <w:cantSplit/>
        </w:trPr>
        <w:tc>
          <w:tcPr>
            <w:tcW w:type="dxa" w:w="130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TPC-H</w:t>
            </w:r>
          </w:p>
        </w:tc>
        <w:tc>
          <w:tcPr>
            <w:tcW w:type="dxa" w:w="2835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8 份 EXPLAIN、80 次并发</w:t>
            </w:r>
          </w:p>
        </w:tc>
        <w:tc>
          <w:tcPr>
            <w:tcW w:type="dxa" w:w="260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结果完整，失败数为 0</w:t>
            </w:r>
          </w:p>
        </w:tc>
        <w:tc>
          <w:tcPr>
            <w:tcW w:type="dxa" w:w="2665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TXT/JSON/CSV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TPC-C</w:t>
            </w:r>
          </w:p>
        </w:tc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SQL 明细计时、计划、40 次并发</w:t>
            </w:r>
          </w:p>
        </w:tc>
        <w:tc>
          <w:tcPr>
            <w:tcW w:type="dxa" w:w="2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事务提交/回滚正确</w:t>
            </w:r>
          </w:p>
        </w:tc>
        <w:tc>
          <w:tcPr>
            <w:tcW w:type="dxa" w:w="266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响应、计划和性能文件</w:t>
            </w:r>
          </w:p>
        </w:tc>
      </w:tr>
      <w:tr>
        <w:trPr>
          <w:cantSplit/>
        </w:trPr>
        <w:tc>
          <w:tcPr>
            <w:tcW w:type="dxa" w:w="130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报告</w:t>
            </w:r>
          </w:p>
        </w:tc>
        <w:tc>
          <w:tcPr>
            <w:tcW w:type="dxa" w:w="2835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结构、数据、图片、分页</w:t>
            </w:r>
          </w:p>
        </w:tc>
        <w:tc>
          <w:tcPr>
            <w:tcW w:type="dxa" w:w="260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无空白页、无占位符、口径一致</w:t>
            </w:r>
          </w:p>
        </w:tc>
        <w:tc>
          <w:tcPr>
            <w:tcW w:type="dxa" w:w="2665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最终 DOCX/PDF 渲染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Git</w:t>
            </w:r>
          </w:p>
        </w:tc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状态、差异、远端分支</w:t>
            </w:r>
          </w:p>
        </w:tc>
        <w:tc>
          <w:tcPr>
            <w:tcW w:type="dxa" w:w="2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提交范围明确，最终分支可克隆复现</w:t>
            </w:r>
          </w:p>
        </w:tc>
        <w:tc>
          <w:tcPr>
            <w:tcW w:type="dxa" w:w="266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提交记录与 PR</w:t>
            </w:r>
          </w:p>
        </w:tc>
      </w:tr>
    </w:tbl>
    <w:p>
      <w:pPr>
        <w:spacing w:after="20"/>
      </w:pP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截图统一采用 YYYYMMDD_模块_动作_规模.png 格式；日志和结果文件名同时包含规模、索引模式和时间戳。原始 dbgen 大文件不得提交到 Git。</w:t>
      </w: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10. 最终报告更新清单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将 SF=0.1 明确为链路验证，将 SF=0.6 明确为正式性能证据。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替换数据库行数、Dashboard 数据规模和性能页截图。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补充 SF=0.6 的 Q1/Q5/Q12/Q14 索引前后对比表。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补充 TPC-C SQL 明细耗时和执行计划分析。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补充客户选项、查询结果导出、数据库配置和批量 upsert 说明。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更新测试数量、HTTP 冒烟结论和剩余限制。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删除过期数据口径和不再成立的“尚未执行 SF=0.6”表述。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重新渲染并检查表格跨页、图片标题、空白页和中文字体。</w:t>
      </w: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11. 建议工期与完成定义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  <w:tblHeader w:val="true"/>
          <w:cantSplit/>
        </w:trPr>
        <w:tc>
          <w:tcPr>
            <w:tcW w:type="dxa" w:w="1247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402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/>
                <w:color w:val="FFFFFF"/>
                <w:sz w:val="17"/>
              </w:rPr>
              <w:t>主要工作</w:t>
            </w:r>
          </w:p>
        </w:tc>
        <w:tc>
          <w:tcPr>
            <w:tcW w:type="dxa" w:w="1814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/>
                <w:color w:val="FFFFFF"/>
                <w:sz w:val="17"/>
              </w:rPr>
              <w:t>建议投入</w:t>
            </w:r>
          </w:p>
        </w:tc>
        <w:tc>
          <w:tcPr>
            <w:tcW w:type="dxa" w:w="2948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/>
                <w:color w:val="FFFFFF"/>
                <w:sz w:val="17"/>
              </w:rPr>
              <w:t>完成定义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阶段 1</w:t>
            </w:r>
          </w:p>
        </w:tc>
        <w:tc>
          <w:tcPr>
            <w:tcW w:type="dxa" w:w="3402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权限、启动入口、Git 清理</w:t>
            </w:r>
          </w:p>
        </w:tc>
        <w:tc>
          <w:tcPr>
            <w:tcW w:type="dxa" w:w="1814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0.5 工作日</w:t>
            </w:r>
          </w:p>
        </w:tc>
        <w:tc>
          <w:tcPr>
            <w:tcW w:type="dxa" w:w="2948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可在新 Windows 环境启动</w:t>
            </w:r>
          </w:p>
        </w:tc>
      </w:tr>
      <w:tr>
        <w:trPr>
          <w:cantSplit/>
        </w:trPr>
        <w:tc>
          <w:tcPr>
            <w:tcW w:type="dxa" w:w="1247"/>
            <w:shd w:fill="F3F5F7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阶段 2</w:t>
            </w:r>
          </w:p>
        </w:tc>
        <w:tc>
          <w:tcPr>
            <w:tcW w:type="dxa" w:w="3402"/>
            <w:shd w:fill="F3F5F7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SF=0.6 生成、导入和性能实验</w:t>
            </w:r>
          </w:p>
        </w:tc>
        <w:tc>
          <w:tcPr>
            <w:tcW w:type="dxa" w:w="1814"/>
            <w:shd w:fill="F3F5F7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0.5～1.5 工作日</w:t>
            </w:r>
          </w:p>
        </w:tc>
        <w:tc>
          <w:tcPr>
            <w:tcW w:type="dxa" w:w="2948"/>
            <w:shd w:fill="F3F5F7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600M 正式证据完整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阶段 3</w:t>
            </w:r>
          </w:p>
        </w:tc>
        <w:tc>
          <w:tcPr>
            <w:tcW w:type="dxa" w:w="3402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TPC-C 计时、计划、业务查询和配置</w:t>
            </w:r>
          </w:p>
        </w:tc>
        <w:tc>
          <w:tcPr>
            <w:tcW w:type="dxa" w:w="1814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1～2 工作日</w:t>
            </w:r>
          </w:p>
        </w:tc>
        <w:tc>
          <w:tcPr>
            <w:tcW w:type="dxa" w:w="2948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指导书功能闭环</w:t>
            </w:r>
          </w:p>
        </w:tc>
      </w:tr>
      <w:tr>
        <w:trPr>
          <w:cantSplit/>
        </w:trPr>
        <w:tc>
          <w:tcPr>
            <w:tcW w:type="dxa" w:w="1247"/>
            <w:shd w:fill="F3F5F7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阶段 4</w:t>
            </w:r>
          </w:p>
        </w:tc>
        <w:tc>
          <w:tcPr>
            <w:tcW w:type="dxa" w:w="3402"/>
            <w:shd w:fill="F3F5F7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批量导入 upsert/触发器</w:t>
            </w:r>
          </w:p>
        </w:tc>
        <w:tc>
          <w:tcPr>
            <w:tcW w:type="dxa" w:w="1814"/>
            <w:shd w:fill="F3F5F7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1 工作日</w:t>
            </w:r>
          </w:p>
        </w:tc>
        <w:tc>
          <w:tcPr>
            <w:tcW w:type="dxa" w:w="2948"/>
            <w:shd w:fill="F3F5F7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Insert/Update 与错误日志通过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阶段 5</w:t>
            </w:r>
          </w:p>
        </w:tc>
        <w:tc>
          <w:tcPr>
            <w:tcW w:type="dxa" w:w="3402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全量回归、截图、报告和合并</w:t>
            </w:r>
          </w:p>
        </w:tc>
        <w:tc>
          <w:tcPr>
            <w:tcW w:type="dxa" w:w="1814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0.5～1 工作日</w:t>
            </w:r>
          </w:p>
        </w:tc>
        <w:tc>
          <w:tcPr>
            <w:tcW w:type="dxa" w:w="2948"/>
            <w:vAlign w:val="center"/>
            <w:tcMar>
              <w:top w:w="55" w:type="dxa"/>
              <w:start w:w="130" w:type="dxa"/>
              <w:bottom w:w="55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等线"/>
                <w:b w:val="0"/>
                <w:color w:val="1F2933"/>
                <w:sz w:val="17"/>
              </w:rPr>
              <w:t>远端最终版本可复现</w:t>
            </w:r>
          </w:p>
        </w:tc>
      </w:tr>
    </w:tbl>
    <w:p>
      <w:pPr>
        <w:spacing w:after="20"/>
      </w:pPr>
    </w:p>
    <w:p>
      <w:pPr>
        <w:spacing w:before="60" w:after="0" w:line="252" w:lineRule="auto"/>
      </w:pPr>
      <w:r>
        <w:rPr>
          <w:rFonts w:ascii="Arial" w:hAnsi="Arial" w:eastAsia="等线"/>
          <w:b/>
          <w:color w:val="16794A"/>
          <w:sz w:val="18"/>
        </w:rPr>
        <w:t>最终完成定义：</w:t>
      </w:r>
      <w:r>
        <w:rPr>
          <w:rFonts w:ascii="Arial" w:hAnsi="Arial" w:eastAsia="等线"/>
          <w:color w:val="1F2933"/>
          <w:sz w:val="18"/>
        </w:rPr>
        <w:t>P0/P1 全部关闭，SF=0.6 证据与报告一致，最终分支可在另一台设备按文档复现。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32" w:bottom="1134" w:left="1332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等线"/>
        <w:color w:val="667085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等线"/>
        <w:b/>
        <w:color w:val="667085"/>
        <w:sz w:val="17"/>
      </w:rPr>
      <w:t>TPC CommerceInsight  |  交付修复与验收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TPC CommerceInsight 交付标准问题修复方案</dc:title>
  <dc:subject>课程设计严格验收、修复与交付执行计划</dc:subject>
  <dc:creator>TPC CommerceInsight 项目组</dc:creator>
  <cp:keywords>PostgreSQL,TPC-H,TPC-C,交付,修复,验收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