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</w:pPr>
      <w:r>
        <w:rPr>
          <w:rFonts w:ascii="Calibri" w:hAnsi="Calibri" w:eastAsia="等线"/>
          <w:b/>
          <w:color w:val="2E74B5"/>
          <w:sz w:val="18"/>
        </w:rPr>
        <w:t>ENGINEERING QUALITY MEMO  ·  V1.0</w:t>
      </w:r>
    </w:p>
    <w:p>
      <w:pPr>
        <w:spacing w:before="0" w:after="80" w:line="240" w:lineRule="auto"/>
      </w:pPr>
      <w:r>
        <w:rPr>
          <w:rFonts w:ascii="Calibri" w:hAnsi="Calibri" w:eastAsia="等线"/>
          <w:b/>
          <w:color w:val="1F4D78"/>
          <w:sz w:val="48"/>
        </w:rPr>
        <w:t>TPC CommerceInsight</w:t>
      </w:r>
    </w:p>
    <w:p>
      <w:pPr>
        <w:spacing w:before="0" w:after="100" w:line="240" w:lineRule="auto"/>
      </w:pPr>
      <w:r>
        <w:rPr>
          <w:rFonts w:ascii="Calibri" w:hAnsi="Calibri" w:eastAsia="等线"/>
          <w:b/>
          <w:color w:val="2E74B5"/>
          <w:sz w:val="38"/>
        </w:rPr>
        <w:t>代码审查修复报告</w:t>
      </w:r>
    </w:p>
    <w:p>
      <w:pPr>
        <w:spacing w:before="0" w:after="240" w:line="240" w:lineRule="auto"/>
        <w:pBdr>
          <w:bottom w:val="single" w:sz="12" w:space="8" w:color="2E74B5"/>
        </w:pBdr>
      </w:pPr>
      <w:r>
        <w:rPr>
          <w:rFonts w:ascii="Calibri" w:hAnsi="Calibri" w:eastAsia="等线"/>
          <w:b w:val="0"/>
          <w:color w:val="57606A"/>
          <w:sz w:val="20"/>
        </w:rPr>
        <w:t>审查日期：2026 年 7 月 13 日   |   结论：通过，可提交源代码</w:t>
      </w:r>
    </w:p>
    <w:p>
      <w:pPr>
        <w:spacing w:before="80" w:after="200" w:line="259" w:lineRule="auto"/>
        <w:ind w:left="230" w:right="115"/>
        <w:shd w:fill="EAF6EE"/>
        <w:pBdr>
          <w:left w:val="single" w:sz="18" w:space="6" w:color="237A3B"/>
        </w:pBdr>
      </w:pPr>
      <w:r>
        <w:rPr>
          <w:rFonts w:ascii="Calibri" w:hAnsi="Calibri" w:eastAsia="等线"/>
          <w:b/>
          <w:color w:val="237A3B"/>
          <w:sz w:val="22"/>
        </w:rPr>
        <w:t xml:space="preserve">执行结论  </w:t>
      </w:r>
      <w:r>
        <w:rPr>
          <w:rFonts w:ascii="Calibri" w:hAnsi="Calibri" w:eastAsia="等线"/>
          <w:b w:val="0"/>
          <w:color w:val="24292F"/>
          <w:sz w:val="22"/>
        </w:rPr>
        <w:t>审查清单中的阻塞项均已完成修复并通过真实 PostgreSQL 16 环境验证。未发现 S1 致命问题或 S2 严重问题；综合审查得分 96/100，当前代码满足最终提交和演示条件。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500"/>
        <w:gridCol w:w="3180"/>
        <w:gridCol w:w="1500"/>
        <w:gridCol w:w="3180"/>
      </w:tblGrid>
      <w:tr>
        <w:trPr>
          <w:trHeight w:hRule="atLeast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工作分支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dev/d-devops-performance-report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最终提交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c5a8b2e</w:t>
            </w:r>
          </w:p>
        </w:tc>
      </w:tr>
      <w:tr>
        <w:trPr>
          <w:trHeight w:hRule="atLeast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数据库规模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TPC-H SF=0.1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正式数据量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866,602 行</w:t>
            </w:r>
          </w:p>
        </w:tc>
      </w:tr>
      <w:tr>
        <w:trPr>
          <w:trHeight w:hRule="atLeast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接口检查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19 项通过，0 失败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并发请求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120 成功，0 失败</w:t>
            </w:r>
          </w:p>
        </w:tc>
      </w:tr>
      <w:tr>
        <w:trPr>
          <w:trHeight w:hRule="atLeast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审查范围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代码、SQL、配置、脚本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运行范围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Docker、后端、前端、联调</w:t>
            </w:r>
          </w:p>
        </w:tc>
      </w:tr>
    </w:tbl>
    <w:p>
      <w:pPr>
        <w:pStyle w:val="Heading1"/>
      </w:pPr>
      <w:r>
        <w:t>1. 审查依据与修复范围</w:t>
      </w:r>
    </w:p>
    <w:p>
      <w:pPr>
        <w:spacing w:before="0" w:after="120" w:line="264" w:lineRule="auto"/>
        <w:jc w:val="both"/>
      </w:pPr>
      <w:r>
        <w:rPr>
          <w:rFonts w:ascii="Calibri" w:hAnsi="Calibri" w:eastAsia="等线"/>
          <w:b w:val="0"/>
          <w:color w:val="24292F"/>
          <w:sz w:val="22"/>
        </w:rPr>
        <w:t>本报告依据《Code Review for TPC CommerceInsight Project》逐项核对仓库中的数据库脚本、Docker 初始化、旧数据卷迁移、数据导入、性能测试、跨层字段契约、前后端联调及可交付性。课程设计报告正文不作为本次代码质量结论的判定对象。</w:t>
      </w:r>
    </w:p>
    <w:p>
      <w:pPr>
        <w:spacing w:before="0" w:after="120" w:line="264" w:lineRule="auto"/>
        <w:jc w:val="both"/>
      </w:pPr>
      <w:r>
        <w:rPr>
          <w:rFonts w:ascii="Calibri" w:hAnsi="Calibri" w:eastAsia="等线"/>
          <w:b w:val="0"/>
          <w:color w:val="24292F"/>
          <w:sz w:val="22"/>
        </w:rPr>
        <w:t>修复原则是保持已有业务接口和数据库语义稳定，在不破坏旧数据卷的前提下补齐正式初始化链路，并使用可复现的日志、结构化结果文件和具名截图保留证据。</w:t>
      </w:r>
    </w:p>
    <w:p>
      <w:r>
        <w:br w:type="page"/>
      </w:r>
    </w:p>
    <w:p>
      <w:pPr>
        <w:pStyle w:val="Heading1"/>
      </w:pPr>
      <w:r>
        <w:t>2. 问题修复清单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600"/>
        <w:gridCol w:w="620"/>
        <w:gridCol w:w="4400"/>
        <w:gridCol w:w="2740"/>
      </w:tblGrid>
      <w:tr>
        <w:trPr>
          <w:trHeight w:hRule="atLeast"/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问题</w:t>
            </w:r>
          </w:p>
        </w:tc>
        <w:tc>
          <w:tcPr>
            <w:tcW w:type="dxa" w:w="6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等级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修复措施与结果</w:t>
            </w:r>
          </w:p>
        </w:tc>
        <w:tc>
          <w:tcPr>
            <w:tcW w:type="dxa" w:w="2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6"/>
              </w:rPr>
              <w:t>关键证据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正式 COPY 顺序未完整固化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S2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新增延迟执行开关，固定为 V1/V2/V3 → COPY → V4/V8/V9/V13 → 可选 V10；重新创建数据卷并完成正式导入。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reset_db_20260713_002349.log</w:t>
              <w:br/>
              <w:t>load_tpch_sf0.1_20260713_002403.log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新旧数据卷均需执行 V13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S2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初始化入口覆盖 V13；另增非破坏性迁移脚本，对旧 volume 执行字段迁移与库存触发器校验。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00_run_sql_assets.sh</w:t>
              <w:br/>
              <w:t>migrate-db.ps1</w:t>
              <w:br/>
              <w:t>migrate_db_20260712_234319.log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数据库重置存在误删风险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S2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reset-db.ps1 必须显式传入 -Force；未传入时打印风险、退出码为 2，且不修改数据卷。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db/scripts/reset-db.ps1</w:t>
              <w:br/>
              <w:t>Docker 环境检查通过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压测入口与后端契约不完整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S2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拆分 TPC-H、TPC-C 两个独立入口；统一输出 successCount/failCount，归档 JSON/CSV，并调用性能结果写入接口。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tpch_concurrent_test.py</w:t>
              <w:br/>
              <w:t>tpcc_concurrent_test.py</w:t>
              <w:br/>
              <w:t>performance_common.py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缺少正式性能与执行计划证据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S3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以 SF=0.1 完成 Q1/Q5/Q12/Q14 有索引、无索引 EXPLAIN ANALYZE，并完成六组并发测试。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report/explain_plans/</w:t>
              <w:br/>
              <w:t>report/performance/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TPC-H 页面默认日期无法命中标准数据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S3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按 dbgen 标准数据区间调整 Q1、Q5、Q12、Q14 默认参数，真实 API 查询恢复有效结果。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frontend/src/views/TpchView.vue</w:t>
              <w:br/>
              <w:t>真实 API 截图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真实 API 切换后可能出现未处理 401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S3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Dashboard 增加过期凭据处理，避免从 Mock 环境切换时出现未捕获异常。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frontend/src/views/DashboardView.vue</w:t>
              <w:br/>
              <w:t>登录与 Dashboard 截图</w:t>
            </w:r>
          </w:p>
        </w:tc>
      </w:tr>
      <w:tr>
        <w:trPr>
          <w:trHeight w:hRule="atLeast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日志编码与凭据留存不规范</w:t>
            </w:r>
          </w:p>
        </w:tc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S3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PowerShell 日志统一 UTF-8；HTTP 冒烟结果中的 token 已脱敏，避免证据文件泄露凭据。</w:t>
            </w:r>
          </w:p>
        </w:tc>
        <w:tc>
          <w:tcPr>
            <w:tcW w:type="dxa" w:w="2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6"/>
              </w:rPr>
              <w:t>report/integration_logs/</w:t>
              <w:br/>
              <w:t>冒烟 JSON 已脱敏</w:t>
            </w:r>
          </w:p>
        </w:tc>
      </w:tr>
    </w:tbl>
    <w:p>
      <w:pPr>
        <w:spacing w:before="80" w:after="200" w:line="259" w:lineRule="auto"/>
        <w:ind w:left="230" w:right="115"/>
        <w:shd w:fill="EAF6EE"/>
        <w:pBdr>
          <w:left w:val="single" w:sz="18" w:space="6" w:color="237A3B"/>
        </w:pBdr>
      </w:pPr>
      <w:r>
        <w:rPr>
          <w:rFonts w:ascii="Calibri" w:hAnsi="Calibri" w:eastAsia="等线"/>
          <w:b/>
          <w:color w:val="237A3B"/>
          <w:sz w:val="22"/>
        </w:rPr>
        <w:t xml:space="preserve">分级结论  </w:t>
      </w:r>
      <w:r>
        <w:rPr>
          <w:rFonts w:ascii="Calibri" w:hAnsi="Calibri" w:eastAsia="等线"/>
          <w:b w:val="0"/>
          <w:color w:val="24292F"/>
          <w:sz w:val="22"/>
        </w:rPr>
        <w:t>以上问题均已关闭。当前没有 S1 或 S2 未解决项；保留事项只属于不阻塞提交的 S4 优化建议。</w:t>
      </w:r>
    </w:p>
    <w:p>
      <w:r>
        <w:br w:type="page"/>
      </w:r>
    </w:p>
    <w:p>
      <w:pPr>
        <w:pStyle w:val="Heading1"/>
      </w:pPr>
      <w:r>
        <w:t>3. 数据库与迁移验证</w:t>
      </w:r>
    </w:p>
    <w:p>
      <w:pPr>
        <w:pStyle w:val="Heading2"/>
      </w:pPr>
      <w:r>
        <w:t>3.1 正式数据导入</w:t>
      </w:r>
    </w:p>
    <w:p>
      <w:pPr>
        <w:spacing w:before="0" w:after="120" w:line="264" w:lineRule="auto"/>
        <w:jc w:val="both"/>
      </w:pPr>
      <w:r>
        <w:rPr>
          <w:rFonts w:ascii="Calibri" w:hAnsi="Calibri" w:eastAsia="等线"/>
          <w:b w:val="0"/>
          <w:color w:val="24292F"/>
          <w:sz w:val="22"/>
        </w:rPr>
        <w:t>使用 dbgen 2.17.2 生成 TPC-H SF=0.1 数据，并通过正式 COPY 链路导入 PostgreSQL 16。加载脚本在 COPY 前移除 .tbl 每行末尾的竖线分隔符，避免产生额外空字段。TPC-H 八表合计 866,602 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800"/>
        <w:gridCol w:w="1800"/>
        <w:gridCol w:w="1800"/>
        <w:gridCol w:w="1800"/>
      </w:tblGrid>
      <w:tr>
        <w:trPr>
          <w:trHeight w:hRule="atLeast"/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数据表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行数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数据表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9"/>
              </w:rPr>
              <w:t>行数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region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nation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25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supplier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1,000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customer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15,000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part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20,000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partsupp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80,000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orders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150,000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lineitem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9"/>
              </w:rPr>
              <w:t>600,572</w:t>
            </w:r>
          </w:p>
        </w:tc>
      </w:tr>
    </w:tbl>
    <w:p>
      <w:pPr>
        <w:spacing w:before="0" w:after="160" w:line="240" w:lineRule="auto"/>
        <w:jc w:val="right"/>
      </w:pPr>
      <w:r>
        <w:rPr>
          <w:rFonts w:ascii="Consolas" w:hAnsi="Consolas" w:eastAsia="等线"/>
          <w:b w:val="0"/>
          <w:color w:val="57606A"/>
          <w:sz w:val="17"/>
        </w:rPr>
        <w:t>行数证据：report/import_logs/row_counts_20260713_002437.txt</w:t>
      </w:r>
    </w:p>
    <w:p>
      <w:pPr>
        <w:pStyle w:val="Heading2"/>
      </w:pPr>
      <w:r>
        <w:t>3.2 初始化、升级与回退保护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100"/>
        <w:gridCol w:w="1000"/>
        <w:gridCol w:w="6260"/>
      </w:tblGrid>
      <w:tr>
        <w:trPr>
          <w:trHeight w:hRule="atLeast"/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验证项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新数据卷初始化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通过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V1-V13 由统一入口执行，正式 COPY 模式按规定顺序延迟后置资产。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旧数据卷升级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通过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迁移不删除 volume；V13 字段与库存触发器均通过存在性校验。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破坏性重置保护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通过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未提供 -Force 时警告并退出，不执行删除。</w:t>
            </w:r>
          </w:p>
        </w:tc>
      </w:tr>
      <w:tr>
        <w:trPr>
          <w:trHeight w:hRule="atLeast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索引状态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通过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无索引与有索引证据分别归档，最终数据库保留标准 V10 索引。</w:t>
            </w:r>
          </w:p>
        </w:tc>
      </w:tr>
    </w:tbl>
    <w:p>
      <w:pPr>
        <w:pStyle w:val="Heading2"/>
      </w:pPr>
      <w:r>
        <w:t>3.3 执行计划证据</w:t>
      </w:r>
    </w:p>
    <w:p>
      <w:pPr>
        <w:spacing w:before="0" w:after="120" w:line="264" w:lineRule="auto"/>
        <w:jc w:val="both"/>
      </w:pPr>
      <w:r>
        <w:rPr>
          <w:rFonts w:ascii="Calibri" w:hAnsi="Calibri" w:eastAsia="等线"/>
          <w:b w:val="0"/>
          <w:color w:val="24292F"/>
          <w:sz w:val="22"/>
        </w:rPr>
        <w:t>Q1、Q5、Q12、Q14 均保存无索引和有索引两组 EXPLAIN ANALYZE 文本，共 8 份执行计划；同时保存两份 JSON 清单，便于按查询、索引状态和生成时间复核。证据目录为 report/explain_plans/。</w:t>
      </w:r>
    </w:p>
    <w:p>
      <w:r>
        <w:br w:type="page"/>
      </w:r>
    </w:p>
    <w:p>
      <w:pPr>
        <w:pStyle w:val="Heading1"/>
      </w:pPr>
      <w:r>
        <w:t>4. 性能压测结果</w:t>
      </w:r>
    </w:p>
    <w:p>
      <w:pPr>
        <w:spacing w:before="0" w:after="120" w:line="264" w:lineRule="auto"/>
        <w:jc w:val="both"/>
      </w:pPr>
      <w:r>
        <w:rPr>
          <w:rFonts w:ascii="Calibri" w:hAnsi="Calibri" w:eastAsia="等线"/>
          <w:b w:val="0"/>
          <w:color w:val="24292F"/>
          <w:sz w:val="22"/>
        </w:rPr>
        <w:t>正式压测使用真实后端与 PostgreSQL SF=0.1 数据。每组使用 4 个线程、20 次请求；TPC-H 以 QPS 表示查询吞吐，TPC-C 以 TPS 表示事务吞吐。结果写入后端接口，并同时归档摘要 CSV、样本 CSV、完整 JSON 和接口响应 JSON。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800"/>
        <w:gridCol w:w="1250"/>
        <w:gridCol w:w="650"/>
        <w:gridCol w:w="650"/>
        <w:gridCol w:w="950"/>
        <w:gridCol w:w="1050"/>
        <w:gridCol w:w="1000"/>
        <w:gridCol w:w="1000"/>
        <w:gridCol w:w="1010"/>
      </w:tblGrid>
      <w:tr>
        <w:trPr>
          <w:trHeight w:hRule="atLeast"/>
          <w:tblHeader w:val="true"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5"/>
              </w:rPr>
              <w:t>类型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5"/>
              </w:rPr>
              <w:t>操作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5"/>
              </w:rPr>
              <w:t>线程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5"/>
              </w:rPr>
              <w:t>请求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5"/>
              </w:rPr>
              <w:t>成功/失败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5"/>
              </w:rPr>
              <w:t>平均 ms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5"/>
              </w:rPr>
              <w:t>最小 ms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5"/>
              </w:rPr>
              <w:t>最大 ms</w:t>
            </w:r>
          </w:p>
        </w:tc>
        <w:tc>
          <w:tcPr>
            <w:tcW w:type="dxa" w:w="1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5"/>
              </w:rPr>
              <w:t>QPS/TPS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TPC-H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Q1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20/0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184.648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145.190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263.664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19.805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TPC-H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Q5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20/0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37.891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23.178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61.621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95.976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TPC-H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Q12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20/0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29.319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22.771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45.939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127.483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TPC-H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Q14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20/0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19.017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14.053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39.708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191.746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TPC-C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New-Order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20/0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52.562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20.622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112.713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71.755</w:t>
            </w:r>
          </w:p>
        </w:tc>
      </w:tr>
      <w:tr>
        <w:trPr>
          <w:trHeight w:hRule="atLeast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TPC-C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Payment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20/0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34.357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22.232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47.798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5"/>
              </w:rPr>
              <w:t>107.451</w:t>
            </w:r>
          </w:p>
        </w:tc>
      </w:tr>
    </w:tbl>
    <w:p>
      <w:pPr>
        <w:spacing w:before="80" w:after="200" w:line="259" w:lineRule="auto"/>
        <w:ind w:left="230" w:right="115"/>
        <w:shd w:fill="EAF6EE"/>
        <w:pBdr>
          <w:left w:val="single" w:sz="18" w:space="6" w:color="237A3B"/>
        </w:pBdr>
      </w:pPr>
      <w:r>
        <w:rPr>
          <w:rFonts w:ascii="Calibri" w:hAnsi="Calibri" w:eastAsia="等线"/>
          <w:b/>
          <w:color w:val="237A3B"/>
          <w:sz w:val="22"/>
        </w:rPr>
        <w:t xml:space="preserve">结果汇总  </w:t>
      </w:r>
      <w:r>
        <w:rPr>
          <w:rFonts w:ascii="Calibri" w:hAnsi="Calibri" w:eastAsia="等线"/>
          <w:b w:val="0"/>
          <w:color w:val="24292F"/>
          <w:sz w:val="22"/>
        </w:rPr>
        <w:t>TPC-H 共 80 次查询、TPC-C 共 40 次事务，合计 120 次请求全部成功。六组性能结果均获得后端写入成功响应，响应文件已归档。</w:t>
      </w:r>
    </w:p>
    <w:p>
      <w:pPr>
        <w:pStyle w:val="Heading1"/>
      </w:pPr>
      <w:r>
        <w:t>5. 全量验证矩阵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600"/>
        <w:gridCol w:w="1000"/>
        <w:gridCol w:w="5760"/>
      </w:tblGrid>
      <w:tr>
        <w:trPr>
          <w:trHeight w:hRule="atLeast"/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验证项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/>
                <w:color w:val="1F4D78"/>
                <w:sz w:val="18"/>
              </w:rPr>
              <w:t>验证说明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Docker Compose 与 PostgreSQL 16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通过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容器健康，连接配置与运行说明一致。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后端单元及集成测试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通过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40 项测试通过；其中 4 项连接真实开发数据库。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前端生产构建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通过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Vite 构建成功，无阻塞错误。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HTTP 全量冒烟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通过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19 项检查通过，0 失败；凭据已脱敏。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真实 API 页面联调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通过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登录、Dashboard、TPC-H 查询、性能图表均读取真实数据。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仓库卫生检查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通过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等线"/>
                <w:b w:val="0"/>
                <w:color w:val="24292F"/>
                <w:sz w:val="18"/>
              </w:rPr>
              <w:t>无冲突标记、无私密凭据、无被跟踪的构建产物或正式 .tbl 数据。</w:t>
            </w:r>
          </w:p>
        </w:tc>
      </w:tr>
    </w:tbl>
    <w:p>
      <w:r>
        <w:br w:type="page"/>
      </w:r>
    </w:p>
    <w:p>
      <w:pPr>
        <w:pStyle w:val="Heading1"/>
      </w:pPr>
      <w:r>
        <w:t>6. 剩余风险与演示要求</w:t>
      </w:r>
    </w:p>
    <w:p>
      <w:pPr>
        <w:pStyle w:val="Heading3"/>
      </w:pPr>
      <w:r>
        <w:t>6.1 前端自动化回归</w:t>
      </w:r>
    </w:p>
    <w:p>
      <w:pPr>
        <w:spacing w:before="0" w:after="120" w:line="264" w:lineRule="auto"/>
        <w:jc w:val="both"/>
      </w:pPr>
      <w:r>
        <w:rPr>
          <w:rFonts w:ascii="Calibri" w:hAnsi="Calibri" w:eastAsia="等线"/>
          <w:b w:val="0"/>
          <w:color w:val="24292F"/>
          <w:sz w:val="22"/>
        </w:rPr>
        <w:t>当前已完成真实浏览器人工联调并保留截图，但尚未建设 Playwright 自动回归套件。该项属于后续质量增强，不阻塞本次提交。</w:t>
      </w:r>
    </w:p>
    <w:p>
      <w:pPr>
        <w:pStyle w:val="Heading3"/>
      </w:pPr>
      <w:r>
        <w:t>6.2 更大数据规模</w:t>
      </w:r>
    </w:p>
    <w:p>
      <w:pPr>
        <w:spacing w:before="0" w:after="120" w:line="264" w:lineRule="auto"/>
        <w:jc w:val="both"/>
      </w:pPr>
      <w:r>
        <w:rPr>
          <w:rFonts w:ascii="Calibri" w:hAnsi="Calibri" w:eastAsia="等线"/>
          <w:b w:val="0"/>
          <w:color w:val="24292F"/>
          <w:sz w:val="22"/>
        </w:rPr>
        <w:t>SF=0.6 与 SF=1 尚未执行。实验要求允许根据机器条件选择；现有 SF=0.1 结果只证明完整链路可运行，不用于推断更大规模性能。</w:t>
      </w:r>
    </w:p>
    <w:p>
      <w:pPr>
        <w:pStyle w:val="Heading3"/>
      </w:pPr>
      <w:r>
        <w:t>6.3 最终演示配置</w:t>
      </w:r>
    </w:p>
    <w:p>
      <w:pPr>
        <w:spacing w:before="0" w:after="120" w:line="264" w:lineRule="auto"/>
        <w:jc w:val="both"/>
      </w:pPr>
      <w:r>
        <w:rPr>
          <w:rFonts w:ascii="Calibri" w:hAnsi="Calibri" w:eastAsia="等线"/>
          <w:b w:val="0"/>
          <w:color w:val="24292F"/>
          <w:sz w:val="22"/>
        </w:rPr>
        <w:t>演示启动前必须显式设置 VITE_USE_MOCK=false，并确认后端连接当前 PostgreSQL 容器，避免把 Mock 数据误认为正式结果。</w:t>
      </w:r>
    </w:p>
    <w:p>
      <w:pPr>
        <w:pStyle w:val="Heading3"/>
      </w:pPr>
      <w:r>
        <w:t>6.4 交付证据索引</w:t>
      </w:r>
    </w:p>
    <w:p>
      <w:pPr>
        <w:spacing w:before="0" w:after="120" w:line="264" w:lineRule="auto"/>
        <w:jc w:val="both"/>
      </w:pPr>
      <w:r>
        <w:rPr>
          <w:rFonts w:ascii="Calibri" w:hAnsi="Calibri" w:eastAsia="等线"/>
          <w:b w:val="0"/>
          <w:color w:val="24292F"/>
          <w:sz w:val="22"/>
        </w:rPr>
        <w:t>数据导入日志、执行计划、性能结果、接口联调记录和具名截图分别保存在 report/import_logs、report/explain_plans、report/performance、report/integration_logs 和 report/screenshots 目录；严格审查结论保存在 docs/integration/20260713_code_review_result.md。</w:t>
      </w:r>
    </w:p>
    <w:p>
      <w:r>
        <w:br w:type="page"/>
      </w:r>
    </w:p>
    <w:p>
      <w:pPr>
        <w:pStyle w:val="Heading1"/>
      </w:pPr>
      <w:r>
        <w:t>7. 真实联调截图</w:t>
      </w:r>
    </w:p>
    <w:p>
      <w:pPr>
        <w:spacing w:before="0" w:after="120" w:line="264" w:lineRule="auto"/>
        <w:jc w:val="both"/>
      </w:pPr>
      <w:r>
        <w:rPr>
          <w:rFonts w:ascii="Calibri" w:hAnsi="Calibri" w:eastAsia="等线"/>
          <w:b w:val="0"/>
          <w:color w:val="24292F"/>
          <w:sz w:val="22"/>
        </w:rPr>
        <w:t>以下截图均使用具名文件保存，页面运行在真实 API 模式，便于课程验收时按业务链路展示。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1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3_login_real_api_sf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Calibri" w:hAnsi="Calibri" w:eastAsia="等线"/>
          <w:b w:val="0"/>
          <w:color w:val="57606A"/>
          <w:sz w:val="18"/>
        </w:rPr>
        <w:t>图 1  真实 API 登录页（SF=0.1 联调环境）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3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3_dashboard_real_api_sf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Calibri" w:hAnsi="Calibri" w:eastAsia="等线"/>
          <w:b w:val="0"/>
          <w:color w:val="57606A"/>
          <w:sz w:val="18"/>
        </w:rPr>
        <w:t>图 2  Dashboard 读取当前数据库实时统计</w:t>
      </w:r>
    </w:p>
    <w:p>
      <w:r>
        <w:br w:type="page"/>
      </w:r>
    </w:p>
    <w:p>
      <w:pPr>
        <w:pStyle w:val="Heading1"/>
      </w:pPr>
      <w:r>
        <w:t>7. 真实联调截图（续）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3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3_tpch_q1_q5_q12_q14_real_api_sf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Calibri" w:hAnsi="Calibri" w:eastAsia="等线"/>
          <w:b w:val="0"/>
          <w:color w:val="57606A"/>
          <w:sz w:val="18"/>
        </w:rPr>
        <w:t>图 3  Q1、Q5、Q12、Q14 真实 API 查询结果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3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13_performance_tpch_real_api_sf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40" w:lineRule="auto"/>
        <w:jc w:val="center"/>
      </w:pPr>
      <w:r>
        <w:rPr>
          <w:rFonts w:ascii="Calibri" w:hAnsi="Calibri" w:eastAsia="等线"/>
          <w:b w:val="0"/>
          <w:color w:val="57606A"/>
          <w:sz w:val="18"/>
        </w:rPr>
        <w:t>图 4  性能结果页面读取已入库的 TPC-H 指标</w:t>
      </w:r>
    </w:p>
    <w:p>
      <w:pPr>
        <w:pStyle w:val="Heading1"/>
      </w:pPr>
      <w:r>
        <w:t>8. 最终结论</w:t>
      </w:r>
    </w:p>
    <w:p>
      <w:pPr>
        <w:spacing w:before="80" w:after="200" w:line="259" w:lineRule="auto"/>
        <w:ind w:left="230" w:right="115"/>
        <w:shd w:fill="EAF6EE"/>
        <w:pBdr>
          <w:left w:val="single" w:sz="18" w:space="6" w:color="237A3B"/>
        </w:pBdr>
      </w:pPr>
      <w:r>
        <w:rPr>
          <w:rFonts w:ascii="Calibri" w:hAnsi="Calibri" w:eastAsia="等线"/>
          <w:b/>
          <w:color w:val="237A3B"/>
          <w:sz w:val="22"/>
        </w:rPr>
        <w:t xml:space="preserve">最终判定  </w:t>
      </w:r>
      <w:r>
        <w:rPr>
          <w:rFonts w:ascii="Calibri" w:hAnsi="Calibri" w:eastAsia="等线"/>
          <w:b w:val="0"/>
          <w:color w:val="24292F"/>
          <w:sz w:val="22"/>
        </w:rPr>
        <w:t>代码可以最终提交。数据库初始化与升级、正式 COPY、执行计划、独立性能入口、结果入库、后端测试、前端构建和全量联调均形成闭环；现存事项为后续增强，不影响当前实验验收。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等线"/>
        <w:b w:val="0"/>
        <w:color w:val="57606A"/>
        <w:sz w:val="17"/>
      </w:rPr>
      <w:t xml:space="preserve">第 </w:t>
    </w:r>
    <w:r>
      <w:rPr>
        <w:rFonts w:ascii="Calibri" w:hAnsi="Calibri" w:eastAsia="等线"/>
        <w:b w:val="0"/>
        <w:color w:val="57606A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等线"/>
        <w:b w:val="0"/>
        <w:color w:val="57606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等线"/>
        <w:b/>
        <w:color w:val="57606A"/>
        <w:sz w:val="17"/>
      </w:rPr>
      <w:t>TPC CommerceInsight  |  代码审查修复报告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等线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TPC CommerceInsight 代码审查修复报告</dc:title>
  <dc:subject>代码审查问题修复、验证结果与交付证据</dc:subject>
  <dc:creator>TPC CommerceInsight 项目组</dc:creator>
  <cp:keywords>TPC CommerceInsight, 代码审查, 修复报告, PostgreSQL, 性能测试</cp:keywords>
  <dc:description>基于 2026-07-13 最终代码、日志和联调证据生成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