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34.png" ContentType="image/jpeg"/>
  <Override PartName="/word/media/image37.png" ContentType="image/jpeg"/>
  <Override PartName="/word/media/image3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EBA94">
      <w:pPr>
        <w:spacing w:after="0"/>
        <w:jc w:val="center"/>
        <w:rPr>
          <w:lang w:eastAsia="zh-CN"/>
        </w:rPr>
      </w:pPr>
      <w:r>
        <w:rPr>
          <w:color w:val="000000"/>
          <w:lang w:eastAsia="zh-CN"/>
        </w:rPr>
        <w:t>北京邮电大学课程设计报告</w:t>
      </w:r>
    </w:p>
    <w:p w14:paraId="40E877E3">
      <w:pPr>
        <w:spacing w:after="0"/>
        <w:jc w:val="center"/>
        <w:rPr>
          <w:lang w:eastAsia="zh-CN"/>
        </w:rPr>
      </w:pPr>
      <w:r>
        <w:rPr>
          <w:color w:val="000000"/>
          <w:lang w:eastAsia="zh-CN"/>
        </w:rPr>
        <w:t>TPC CommerceInsight</w:t>
      </w:r>
      <w:r>
        <w:rPr>
          <w:color w:val="000000"/>
          <w:lang w:eastAsia="zh-CN"/>
        </w:rPr>
        <w:br w:type="textWrapping"/>
      </w:r>
      <w:r>
        <w:rPr>
          <w:color w:val="000000"/>
          <w:lang w:eastAsia="zh-CN"/>
        </w:rPr>
        <w:t>电商数据管理与基准测试分析系统</w:t>
      </w:r>
    </w:p>
    <w:p w14:paraId="314C1B2E">
      <w:pPr>
        <w:spacing w:after="0"/>
        <w:rPr>
          <w:lang w:eastAsia="zh-CN"/>
        </w:rPr>
      </w:pPr>
      <w:r>
        <w:br w:type="page"/>
      </w:r>
    </w:p>
    <w:p w14:paraId="4FBB73C6">
      <w:pPr>
        <w:pStyle w:val="3"/>
        <w:spacing w:before="0" w:after="0"/>
        <w:ind w:firstLine="0"/>
        <w:rPr>
          <w:lang w:eastAsia="zh-CN"/>
        </w:rPr>
      </w:pPr>
      <w:bookmarkStart w:id="0" w:name="__RefHeading___Toc5769_2153205702"/>
      <w:bookmarkEnd w:id="0"/>
      <w:bookmarkStart w:id="1" w:name="_Toc234332024"/>
      <w:r>
        <w:rPr>
          <w:rFonts w:ascii="Times New Roman" w:hAnsi="Times New Roman" w:eastAsia="黑体"/>
          <w:color w:val="000000"/>
          <w:lang w:eastAsia="zh-CN"/>
        </w:rPr>
        <w:t>摘要</w:t>
      </w:r>
      <w:bookmarkEnd w:id="1"/>
    </w:p>
    <w:p w14:paraId="65555861">
      <w:pPr>
        <w:spacing w:after="0"/>
        <w:rPr>
          <w:lang w:eastAsia="zh-CN"/>
        </w:rPr>
      </w:pPr>
      <w:r>
        <w:t>本课程设计围绕 TPC CommerceInsight 电商数据管理与基准测试分析系统展开，面向关系建模、完整性约束、事务处理、查询优化与性能分析等数据库课程核心要求，构建以 PostgreSQL 为核心的数据管理与验证平台。系统以 TPC-H 分析型数据和课程精简版 TPC-C 事务数据为基础，覆盖区域、国家、供应商、客户、订单、订单明细、仓库、地区、库存、支付历史及应用辅助日志等数据对象，并通过主键、外键、CHECK 约束、触发器、存储过程和基线索引保证数据的一致性与可解释性。在系统实现方面，项目采用前后端分离和数据库集中管理架构：Spring Boot 提供 REST API 与事务服务，Vue 3、Element Plus 和 ECharts 负责页面展示与可视化，Docker、dbgen、COPY、EXPLAIN ANALYZE 及 Python 并发测试脚本支撑正式数据导入、执行计划分析与性能对比。本文系统说明课程设计目标、需求分析、总体设计、数据库实现、系统联调和性能实验，形成完整、可复现的项目证据链。</w:t>
      </w:r>
    </w:p>
    <w:p w14:paraId="162C7F32">
      <w:pPr>
        <w:spacing w:after="0"/>
        <w:rPr>
          <w:color w:val="000000"/>
          <w:lang w:eastAsia="zh-CN"/>
        </w:rPr>
      </w:pPr>
      <w:r>
        <w:rPr>
          <w:lang w:eastAsia="zh-CN"/>
        </w:rPr>
        <w:t>关键词：PostgreSQL；TPC-H；TPC-C；Spring Boot；Vue；数据库设计；事务处理；查询优化；性能测试</w:t>
      </w:r>
    </w:p>
    <w:p w14:paraId="4418619A">
      <w:pPr>
        <w:spacing w:line="276" w:lineRule="auto"/>
        <w:ind w:firstLine="0"/>
        <w:rPr>
          <w:color w:val="000000"/>
          <w:lang w:eastAsia="zh-CN"/>
        </w:rPr>
      </w:pPr>
    </w:p>
    <w:sdt>
      <w:sdtPr>
        <w:rPr>
          <w:rFonts w:ascii="Times New Roman" w:hAnsi="Times New Roman" w:eastAsia="宋体" w:cstheme="minorBidi"/>
          <w:b w:val="0"/>
          <w:bCs w:val="0"/>
          <w:sz w:val="24"/>
          <w:szCs w:val="22"/>
        </w:rPr>
        <w:id w:val="-1114284205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 w:val="0"/>
          <w:bCs w:val="0"/>
          <w:sz w:val="24"/>
          <w:szCs w:val="22"/>
        </w:rPr>
      </w:sdtEndPr>
      <w:sdtContent>
        <w:p w14:paraId="766532E0">
          <w:pPr>
            <w:pStyle w:val="172"/>
          </w:pPr>
          <w:r>
            <w:br w:type="page"/>
          </w:r>
          <w:r>
            <w:t>目录</w:t>
          </w:r>
        </w:p>
        <w:p w14:paraId="235DA4BA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rPr>
              <w:rStyle w:val="168"/>
            </w:rPr>
            <w:instrText xml:space="preserve"> TOC \z \o "1-3" \u \h</w:instrText>
          </w:r>
          <w:r>
            <w:rPr>
              <w:rStyle w:val="168"/>
            </w:rPr>
            <w:fldChar w:fldCharType="separate"/>
          </w:r>
          <w:r>
            <w:fldChar w:fldCharType="begin"/>
          </w:r>
          <w:r>
            <w:instrText xml:space="preserve"> HYPERLINK \l "__RefHeading___Toc5769_2153205702" \h </w:instrText>
          </w:r>
          <w:r>
            <w:fldChar w:fldCharType="separate"/>
          </w:r>
          <w:r>
            <w:rPr>
              <w:rStyle w:val="168"/>
            </w:rPr>
            <w:t>摘要</w:t>
          </w:r>
          <w:r>
            <w:rPr>
              <w:rStyle w:val="168"/>
            </w:rPr>
            <w:tab/>
          </w:r>
          <w:r>
            <w:rPr>
              <w:rStyle w:val="168"/>
            </w:rPr>
            <w:t>2</w:t>
          </w:r>
          <w:r>
            <w:rPr>
              <w:rStyle w:val="168"/>
            </w:rPr>
            <w:fldChar w:fldCharType="end"/>
          </w:r>
        </w:p>
        <w:p w14:paraId="5A853608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"__RefHeading___Toc5771_2153205702" \h </w:instrText>
          </w:r>
          <w:r>
            <w:fldChar w:fldCharType="separate"/>
          </w:r>
          <w:r>
            <w:rPr>
              <w:rStyle w:val="168"/>
            </w:rPr>
            <w:t>第 1 章 课程设计的目的与内容</w:t>
          </w:r>
          <w:r>
            <w:rPr>
              <w:rStyle w:val="168"/>
            </w:rPr>
            <w:tab/>
          </w:r>
          <w:r>
            <w:rPr>
              <w:rStyle w:val="168"/>
            </w:rPr>
            <w:t>8</w:t>
          </w:r>
          <w:r>
            <w:rPr>
              <w:rStyle w:val="168"/>
            </w:rPr>
            <w:fldChar w:fldCharType="end"/>
          </w:r>
        </w:p>
        <w:p w14:paraId="4376AF2B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"__RefHeading___Toc5773_2153205702" \h </w:instrText>
          </w:r>
          <w:r>
            <w:fldChar w:fldCharType="separate"/>
          </w:r>
          <w:r>
            <w:rPr>
              <w:rStyle w:val="168"/>
            </w:rPr>
            <w:t>1.1 课程设计目的</w:t>
          </w:r>
          <w:r>
            <w:rPr>
              <w:rStyle w:val="168"/>
            </w:rPr>
            <w:tab/>
          </w:r>
          <w:r>
            <w:rPr>
              <w:rStyle w:val="168"/>
            </w:rPr>
            <w:t>8</w:t>
          </w:r>
          <w:r>
            <w:rPr>
              <w:rStyle w:val="168"/>
            </w:rPr>
            <w:fldChar w:fldCharType="end"/>
          </w:r>
        </w:p>
        <w:p w14:paraId="3B2ACB6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"__RefHeading___Toc5775_2153205702" \h </w:instrText>
          </w:r>
          <w:r>
            <w:fldChar w:fldCharType="separate"/>
          </w:r>
          <w:r>
            <w:rPr>
              <w:rStyle w:val="168"/>
            </w:rPr>
            <w:t>1.2 课程设计内容</w:t>
          </w:r>
          <w:r>
            <w:rPr>
              <w:rStyle w:val="168"/>
            </w:rPr>
            <w:tab/>
          </w:r>
          <w:r>
            <w:rPr>
              <w:rStyle w:val="168"/>
            </w:rPr>
            <w:t>8</w:t>
          </w:r>
          <w:r>
            <w:rPr>
              <w:rStyle w:val="168"/>
            </w:rPr>
            <w:fldChar w:fldCharType="end"/>
          </w:r>
        </w:p>
        <w:p w14:paraId="73CB0763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"__RefHeading___Toc5777_2153205702" \h </w:instrText>
          </w:r>
          <w:r>
            <w:fldChar w:fldCharType="separate"/>
          </w:r>
          <w:r>
            <w:rPr>
              <w:rStyle w:val="168"/>
            </w:rPr>
            <w:t>1.3 项目背景与系统定位</w:t>
          </w:r>
          <w:r>
            <w:rPr>
              <w:rStyle w:val="168"/>
            </w:rPr>
            <w:tab/>
          </w:r>
          <w:r>
            <w:rPr>
              <w:rStyle w:val="168"/>
            </w:rPr>
            <w:t>9</w:t>
          </w:r>
          <w:r>
            <w:rPr>
              <w:rStyle w:val="168"/>
            </w:rPr>
            <w:fldChar w:fldCharType="end"/>
          </w:r>
        </w:p>
        <w:p w14:paraId="4EE7454B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"__RefHeading___Toc5779_2153205702" \h </w:instrText>
          </w:r>
          <w:r>
            <w:fldChar w:fldCharType="separate"/>
          </w:r>
          <w:r>
            <w:rPr>
              <w:rStyle w:val="168"/>
            </w:rPr>
            <w:t>1.4 项目技术路线</w:t>
          </w:r>
          <w:r>
            <w:rPr>
              <w:rStyle w:val="168"/>
            </w:rPr>
            <w:tab/>
          </w:r>
          <w:r>
            <w:rPr>
              <w:rStyle w:val="168"/>
            </w:rPr>
            <w:t>10</w:t>
          </w:r>
          <w:r>
            <w:rPr>
              <w:rStyle w:val="168"/>
            </w:rPr>
            <w:fldChar w:fldCharType="end"/>
          </w:r>
        </w:p>
        <w:p w14:paraId="195A307B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"__RefHeading___Toc5781_2153205702" \h </w:instrText>
          </w:r>
          <w:r>
            <w:fldChar w:fldCharType="separate"/>
          </w:r>
          <w:r>
            <w:rPr>
              <w:rStyle w:val="168"/>
            </w:rPr>
            <w:t>第 2 章 系统需求分析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3402972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"__RefHeading___Toc5783_2153205702" \h </w:instrText>
          </w:r>
          <w:r>
            <w:fldChar w:fldCharType="separate"/>
          </w:r>
          <w:r>
            <w:rPr>
              <w:rStyle w:val="168"/>
            </w:rPr>
            <w:t>2.1 系统总体需求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626E97E6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"__RefHeading___Toc5785_2153205702" \h </w:instrText>
          </w:r>
          <w:r>
            <w:fldChar w:fldCharType="separate"/>
          </w:r>
          <w:r>
            <w:rPr>
              <w:rStyle w:val="168"/>
            </w:rPr>
            <w:t>2.2 用户角色需求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47C64ABD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"__RefHeading___Toc5787_2153205702" \h </w:instrText>
          </w:r>
          <w:r>
            <w:fldChar w:fldCharType="separate"/>
          </w:r>
          <w:r>
            <w:rPr>
              <w:rStyle w:val="168"/>
            </w:rPr>
            <w:t>2.3 系统界面需求</w:t>
          </w:r>
          <w:r>
            <w:rPr>
              <w:rStyle w:val="168"/>
            </w:rPr>
            <w:tab/>
          </w:r>
          <w:r>
            <w:rPr>
              <w:rStyle w:val="168"/>
            </w:rPr>
            <w:t>13</w:t>
          </w:r>
          <w:r>
            <w:rPr>
              <w:rStyle w:val="168"/>
            </w:rPr>
            <w:fldChar w:fldCharType="end"/>
          </w:r>
        </w:p>
        <w:p w14:paraId="1D2E1BFD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"__RefHeading___Toc5789_2153205702" \h </w:instrText>
          </w:r>
          <w:r>
            <w:fldChar w:fldCharType="separate"/>
          </w:r>
          <w:r>
            <w:rPr>
              <w:rStyle w:val="168"/>
            </w:rPr>
            <w:t>2.4 数据管理需求</w:t>
          </w:r>
          <w:r>
            <w:rPr>
              <w:rStyle w:val="168"/>
            </w:rPr>
            <w:tab/>
          </w:r>
          <w:r>
            <w:rPr>
              <w:rStyle w:val="168"/>
            </w:rPr>
            <w:t>14</w:t>
          </w:r>
          <w:r>
            <w:rPr>
              <w:rStyle w:val="168"/>
            </w:rPr>
            <w:fldChar w:fldCharType="end"/>
          </w:r>
        </w:p>
        <w:p w14:paraId="0CF47EE6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"__RefHeading___Toc5791_2153205702" \h </w:instrText>
          </w:r>
          <w:r>
            <w:fldChar w:fldCharType="separate"/>
          </w:r>
          <w:r>
            <w:rPr>
              <w:rStyle w:val="168"/>
            </w:rPr>
            <w:t>2.5 业务查询需求</w:t>
          </w:r>
          <w:r>
            <w:rPr>
              <w:rStyle w:val="168"/>
            </w:rPr>
            <w:tab/>
          </w:r>
          <w:r>
            <w:rPr>
              <w:rStyle w:val="168"/>
            </w:rPr>
            <w:t>14</w:t>
          </w:r>
          <w:r>
            <w:rPr>
              <w:rStyle w:val="168"/>
            </w:rPr>
            <w:fldChar w:fldCharType="end"/>
          </w:r>
        </w:p>
        <w:p w14:paraId="1AB4E3B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"__RefHeading___Toc5793_2153205702" \h </w:instrText>
          </w:r>
          <w:r>
            <w:fldChar w:fldCharType="separate"/>
          </w:r>
          <w:r>
            <w:rPr>
              <w:rStyle w:val="168"/>
            </w:rPr>
            <w:t>2.6 业务处理需求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288FE89A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"__RefHeading___Toc5795_2153205702" \h </w:instrText>
          </w:r>
          <w:r>
            <w:fldChar w:fldCharType="separate"/>
          </w:r>
          <w:r>
            <w:rPr>
              <w:rStyle w:val="168"/>
            </w:rPr>
            <w:t>2.7 统计分析需求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33DB139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"__RefHeading___Toc5797_2153205702" \h </w:instrText>
          </w:r>
          <w:r>
            <w:fldChar w:fldCharType="separate"/>
          </w:r>
          <w:r>
            <w:rPr>
              <w:rStyle w:val="168"/>
            </w:rPr>
            <w:t>2.8 性能分析需求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768C6CA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"__RefHeading___Toc5799_2153205702" \h </w:instrText>
          </w:r>
          <w:r>
            <w:fldChar w:fldCharType="separate"/>
          </w:r>
          <w:r>
            <w:rPr>
              <w:rStyle w:val="168"/>
            </w:rPr>
            <w:t>2.9 非功能需求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04318E8D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"__RefHeading___Toc5801_2153205702" \h </w:instrText>
          </w:r>
          <w:r>
            <w:fldChar w:fldCharType="separate"/>
          </w:r>
          <w:r>
            <w:rPr>
              <w:rStyle w:val="168"/>
            </w:rPr>
            <w:t>第 3 章 系统设计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7C367423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"__RefHeading___Toc5803_2153205702" \h </w:instrText>
          </w:r>
          <w:r>
            <w:fldChar w:fldCharType="separate"/>
          </w:r>
          <w:r>
            <w:rPr>
              <w:rStyle w:val="168"/>
            </w:rPr>
            <w:t>3.1 系统总体架构设计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50125667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"__RefHeading___Toc5805_2153205702" \h </w:instrText>
          </w:r>
          <w:r>
            <w:fldChar w:fldCharType="separate"/>
          </w:r>
          <w:r>
            <w:rPr>
              <w:rStyle w:val="168"/>
            </w:rPr>
            <w:t>3.2 系统层次结构设计</w:t>
          </w:r>
          <w:r>
            <w:rPr>
              <w:rStyle w:val="168"/>
            </w:rPr>
            <w:tab/>
          </w:r>
          <w:r>
            <w:rPr>
              <w:rStyle w:val="168"/>
            </w:rPr>
            <w:t>18</w:t>
          </w:r>
          <w:r>
            <w:rPr>
              <w:rStyle w:val="168"/>
            </w:rPr>
            <w:fldChar w:fldCharType="end"/>
          </w:r>
        </w:p>
        <w:p w14:paraId="6A8998A3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"__RefHeading___Toc5807_2153205702" \h </w:instrText>
          </w:r>
          <w:r>
            <w:fldChar w:fldCharType="separate"/>
          </w:r>
          <w:r>
            <w:rPr>
              <w:rStyle w:val="168"/>
            </w:rPr>
            <w:t>3.3 软件模块设计</w:t>
          </w:r>
          <w:r>
            <w:rPr>
              <w:rStyle w:val="168"/>
            </w:rPr>
            <w:tab/>
          </w:r>
          <w:r>
            <w:rPr>
              <w:rStyle w:val="168"/>
            </w:rPr>
            <w:t>19</w:t>
          </w:r>
          <w:r>
            <w:rPr>
              <w:rStyle w:val="168"/>
            </w:rPr>
            <w:fldChar w:fldCharType="end"/>
          </w:r>
        </w:p>
        <w:p w14:paraId="3BB1A2A5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"__RefHeading___Toc5809_2153205702" \h </w:instrText>
          </w:r>
          <w:r>
            <w:fldChar w:fldCharType="separate"/>
          </w:r>
          <w:r>
            <w:rPr>
              <w:rStyle w:val="168"/>
            </w:rPr>
            <w:t>3.4 前后端交互设计</w:t>
          </w:r>
          <w:r>
            <w:rPr>
              <w:rStyle w:val="168"/>
            </w:rPr>
            <w:tab/>
          </w:r>
          <w:r>
            <w:rPr>
              <w:rStyle w:val="168"/>
            </w:rPr>
            <w:t>19</w:t>
          </w:r>
          <w:r>
            <w:rPr>
              <w:rStyle w:val="168"/>
            </w:rPr>
            <w:fldChar w:fldCharType="end"/>
          </w:r>
        </w:p>
        <w:p w14:paraId="28B97054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"__RefHeading___Toc5811_2153205702" \h </w:instrText>
          </w:r>
          <w:r>
            <w:fldChar w:fldCharType="separate"/>
          </w:r>
          <w:r>
            <w:rPr>
              <w:rStyle w:val="168"/>
            </w:rPr>
            <w:t>3.5 事务与异常处理设计</w:t>
          </w:r>
          <w:r>
            <w:rPr>
              <w:rStyle w:val="168"/>
            </w:rPr>
            <w:tab/>
          </w:r>
          <w:r>
            <w:rPr>
              <w:rStyle w:val="168"/>
            </w:rPr>
            <w:t>21</w:t>
          </w:r>
          <w:r>
            <w:rPr>
              <w:rStyle w:val="168"/>
            </w:rPr>
            <w:fldChar w:fldCharType="end"/>
          </w:r>
        </w:p>
        <w:p w14:paraId="6D171EE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"__RefHeading___Toc5813_2153205702" \h </w:instrText>
          </w:r>
          <w:r>
            <w:fldChar w:fldCharType="separate"/>
          </w:r>
          <w:r>
            <w:rPr>
              <w:rStyle w:val="168"/>
            </w:rPr>
            <w:t>3.6 系统数据流设计</w:t>
          </w:r>
          <w:r>
            <w:rPr>
              <w:rStyle w:val="168"/>
            </w:rPr>
            <w:tab/>
          </w:r>
          <w:r>
            <w:rPr>
              <w:rStyle w:val="168"/>
            </w:rPr>
            <w:t>21</w:t>
          </w:r>
          <w:r>
            <w:rPr>
              <w:rStyle w:val="168"/>
            </w:rPr>
            <w:fldChar w:fldCharType="end"/>
          </w:r>
        </w:p>
        <w:p w14:paraId="2B0A7730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"__RefHeading___Toc5815_2153205702" \h </w:instrText>
          </w:r>
          <w:r>
            <w:fldChar w:fldCharType="separate"/>
          </w:r>
          <w:r>
            <w:rPr>
              <w:rStyle w:val="168"/>
            </w:rPr>
            <w:t>第 4 章 数据库设计</w:t>
          </w:r>
          <w:r>
            <w:rPr>
              <w:rStyle w:val="168"/>
            </w:rPr>
            <w:tab/>
          </w:r>
          <w:r>
            <w:rPr>
              <w:rStyle w:val="168"/>
            </w:rPr>
            <w:t>23</w:t>
          </w:r>
          <w:r>
            <w:rPr>
              <w:rStyle w:val="168"/>
            </w:rPr>
            <w:fldChar w:fldCharType="end"/>
          </w:r>
        </w:p>
        <w:p w14:paraId="4B8B477A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"__RefHeading___Toc5817_2153205702" \h </w:instrText>
          </w:r>
          <w:r>
            <w:fldChar w:fldCharType="separate"/>
          </w:r>
          <w:r>
            <w:rPr>
              <w:rStyle w:val="168"/>
            </w:rPr>
            <w:t>4.1 数据库设计目标</w:t>
          </w:r>
          <w:r>
            <w:rPr>
              <w:rStyle w:val="168"/>
            </w:rPr>
            <w:tab/>
          </w:r>
          <w:r>
            <w:rPr>
              <w:rStyle w:val="168"/>
            </w:rPr>
            <w:t>23</w:t>
          </w:r>
          <w:r>
            <w:rPr>
              <w:rStyle w:val="168"/>
            </w:rPr>
            <w:fldChar w:fldCharType="end"/>
          </w:r>
        </w:p>
        <w:p w14:paraId="3941E165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"__RefHeading___Toc5819_2153205702" \h </w:instrText>
          </w:r>
          <w:r>
            <w:fldChar w:fldCharType="separate"/>
          </w:r>
          <w:r>
            <w:rPr>
              <w:rStyle w:val="168"/>
            </w:rPr>
            <w:t>4.2 E-R 图设计</w:t>
          </w:r>
          <w:r>
            <w:rPr>
              <w:rStyle w:val="168"/>
            </w:rPr>
            <w:tab/>
          </w:r>
          <w:r>
            <w:rPr>
              <w:rStyle w:val="168"/>
            </w:rPr>
            <w:t>23</w:t>
          </w:r>
          <w:r>
            <w:rPr>
              <w:rStyle w:val="168"/>
            </w:rPr>
            <w:fldChar w:fldCharType="end"/>
          </w:r>
        </w:p>
        <w:p w14:paraId="2F70C3DF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"__RefHeading___Toc5821_2153205702" \h </w:instrText>
          </w:r>
          <w:r>
            <w:fldChar w:fldCharType="separate"/>
          </w:r>
          <w:r>
            <w:rPr>
              <w:rStyle w:val="168"/>
            </w:rPr>
            <w:t>4.3 数据库逻辑设计与关系表设计</w:t>
          </w:r>
          <w:r>
            <w:rPr>
              <w:rStyle w:val="168"/>
            </w:rPr>
            <w:tab/>
          </w:r>
          <w:r>
            <w:rPr>
              <w:rStyle w:val="168"/>
            </w:rPr>
            <w:t>25</w:t>
          </w:r>
          <w:r>
            <w:rPr>
              <w:rStyle w:val="168"/>
            </w:rPr>
            <w:fldChar w:fldCharType="end"/>
          </w:r>
        </w:p>
        <w:p w14:paraId="1417163C">
          <w:pPr>
            <w:pStyle w:val="24"/>
            <w:tabs>
              <w:tab w:val="right" w:leader="dot" w:pos="9178"/>
              <w:tab w:val="clear" w:pos="8612"/>
            </w:tabs>
          </w:pPr>
          <w:r>
            <w:fldChar w:fldCharType="begin"/>
          </w:r>
          <w:r>
            <w:instrText xml:space="preserve"> HYPERLINK \l "__RefHeading___Toc5823_2153205702" \h </w:instrText>
          </w:r>
          <w:r>
            <w:fldChar w:fldCharType="separate"/>
          </w:r>
          <w:r>
            <w:rPr>
              <w:rStyle w:val="168"/>
            </w:rPr>
            <w:t>4.3.1 TPC-H 核心表设计</w:t>
          </w:r>
          <w:r>
            <w:rPr>
              <w:rStyle w:val="168"/>
            </w:rPr>
            <w:tab/>
          </w:r>
          <w:r>
            <w:rPr>
              <w:rStyle w:val="168"/>
            </w:rPr>
            <w:t>25</w:t>
          </w:r>
          <w:r>
            <w:rPr>
              <w:rStyle w:val="168"/>
            </w:rPr>
            <w:fldChar w:fldCharType="end"/>
          </w:r>
        </w:p>
        <w:p w14:paraId="54BCB591">
          <w:pPr>
            <w:pStyle w:val="24"/>
            <w:tabs>
              <w:tab w:val="right" w:leader="dot" w:pos="9178"/>
              <w:tab w:val="clear" w:pos="8612"/>
            </w:tabs>
          </w:pPr>
          <w:r>
            <w:fldChar w:fldCharType="begin"/>
          </w:r>
          <w:r>
            <w:instrText xml:space="preserve"> HYPERLINK \l "__RefHeading___Toc5825_2153205702" \h </w:instrText>
          </w:r>
          <w:r>
            <w:fldChar w:fldCharType="separate"/>
          </w:r>
          <w:r>
            <w:rPr>
              <w:rStyle w:val="168"/>
            </w:rPr>
            <w:t>4.3.2 TPC-C 事务表设计</w:t>
          </w:r>
          <w:r>
            <w:rPr>
              <w:rStyle w:val="168"/>
            </w:rPr>
            <w:tab/>
          </w:r>
          <w:r>
            <w:rPr>
              <w:rStyle w:val="168"/>
            </w:rPr>
            <w:t>26</w:t>
          </w:r>
          <w:r>
            <w:rPr>
              <w:rStyle w:val="168"/>
            </w:rPr>
            <w:fldChar w:fldCharType="end"/>
          </w:r>
        </w:p>
        <w:p w14:paraId="668E573C">
          <w:pPr>
            <w:pStyle w:val="24"/>
            <w:tabs>
              <w:tab w:val="right" w:leader="dot" w:pos="9178"/>
              <w:tab w:val="clear" w:pos="8612"/>
            </w:tabs>
          </w:pPr>
          <w:r>
            <w:fldChar w:fldCharType="begin"/>
          </w:r>
          <w:r>
            <w:instrText xml:space="preserve"> HYPERLINK \l "__RefHeading___Toc5827_2153205702" \h </w:instrText>
          </w:r>
          <w:r>
            <w:fldChar w:fldCharType="separate"/>
          </w:r>
          <w:r>
            <w:rPr>
              <w:rStyle w:val="168"/>
            </w:rPr>
            <w:t>4.3.3 应用辅助表设计</w:t>
          </w:r>
          <w:r>
            <w:rPr>
              <w:rStyle w:val="168"/>
            </w:rPr>
            <w:tab/>
          </w:r>
          <w:r>
            <w:rPr>
              <w:rStyle w:val="168"/>
            </w:rPr>
            <w:t>27</w:t>
          </w:r>
          <w:r>
            <w:rPr>
              <w:rStyle w:val="168"/>
            </w:rPr>
            <w:fldChar w:fldCharType="end"/>
          </w:r>
        </w:p>
        <w:p w14:paraId="7DB597A6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"__RefHeading___Toc5829_2153205702" \h </w:instrText>
          </w:r>
          <w:r>
            <w:fldChar w:fldCharType="separate"/>
          </w:r>
          <w:r>
            <w:rPr>
              <w:rStyle w:val="168"/>
            </w:rPr>
            <w:t>4.4 数据完整性约束设计</w:t>
          </w:r>
          <w:r>
            <w:rPr>
              <w:rStyle w:val="168"/>
            </w:rPr>
            <w:tab/>
          </w:r>
          <w:r>
            <w:rPr>
              <w:rStyle w:val="168"/>
            </w:rPr>
            <w:t>28</w:t>
          </w:r>
          <w:r>
            <w:rPr>
              <w:rStyle w:val="168"/>
            </w:rPr>
            <w:fldChar w:fldCharType="end"/>
          </w:r>
        </w:p>
        <w:p w14:paraId="3A87A900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"__RefHeading___Toc5831_2153205702" \h </w:instrText>
          </w:r>
          <w:r>
            <w:fldChar w:fldCharType="separate"/>
          </w:r>
          <w:r>
            <w:rPr>
              <w:rStyle w:val="168"/>
            </w:rPr>
            <w:t>4.5 函数、触发器与存储过程设计</w:t>
          </w:r>
          <w:r>
            <w:rPr>
              <w:rStyle w:val="168"/>
            </w:rPr>
            <w:tab/>
          </w:r>
          <w:r>
            <w:rPr>
              <w:rStyle w:val="168"/>
            </w:rPr>
            <w:t>29</w:t>
          </w:r>
          <w:r>
            <w:rPr>
              <w:rStyle w:val="168"/>
            </w:rPr>
            <w:fldChar w:fldCharType="end"/>
          </w:r>
        </w:p>
        <w:p w14:paraId="016B3BD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"__RefHeading___Toc5833_2153205702" \h </w:instrText>
          </w:r>
          <w:r>
            <w:fldChar w:fldCharType="separate"/>
          </w:r>
          <w:r>
            <w:rPr>
              <w:rStyle w:val="168"/>
            </w:rPr>
            <w:t>4.6 索引设计</w:t>
          </w:r>
          <w:r>
            <w:rPr>
              <w:rStyle w:val="168"/>
            </w:rPr>
            <w:tab/>
          </w:r>
          <w:r>
            <w:rPr>
              <w:rStyle w:val="168"/>
            </w:rPr>
            <w:t>30</w:t>
          </w:r>
          <w:r>
            <w:rPr>
              <w:rStyle w:val="168"/>
            </w:rPr>
            <w:fldChar w:fldCharType="end"/>
          </w:r>
        </w:p>
        <w:p w14:paraId="09E394F4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"__RefHeading___Toc5835_2153205702" \h </w:instrText>
          </w:r>
          <w:r>
            <w:fldChar w:fldCharType="separate"/>
          </w:r>
          <w:r>
            <w:rPr>
              <w:rStyle w:val="168"/>
            </w:rPr>
            <w:t>4.7 数据库文件物理设计</w:t>
          </w:r>
          <w:r>
            <w:rPr>
              <w:rStyle w:val="168"/>
            </w:rPr>
            <w:tab/>
          </w:r>
          <w:r>
            <w:rPr>
              <w:rStyle w:val="168"/>
            </w:rPr>
            <w:t>31</w:t>
          </w:r>
          <w:r>
            <w:rPr>
              <w:rStyle w:val="168"/>
            </w:rPr>
            <w:fldChar w:fldCharType="end"/>
          </w:r>
        </w:p>
        <w:p w14:paraId="7AD6130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"__RefHeading___Toc5837_2153205702" \h </w:instrText>
          </w:r>
          <w:r>
            <w:fldChar w:fldCharType="separate"/>
          </w:r>
          <w:r>
            <w:rPr>
              <w:rStyle w:val="168"/>
            </w:rPr>
            <w:t>4.8 批量导入与数据清洗设计</w:t>
          </w:r>
          <w:r>
            <w:rPr>
              <w:rStyle w:val="168"/>
            </w:rPr>
            <w:tab/>
          </w:r>
          <w:r>
            <w:rPr>
              <w:rStyle w:val="168"/>
            </w:rPr>
            <w:t>32</w:t>
          </w:r>
          <w:r>
            <w:rPr>
              <w:rStyle w:val="168"/>
            </w:rPr>
            <w:fldChar w:fldCharType="end"/>
          </w:r>
        </w:p>
        <w:p w14:paraId="01A5F132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"__RefHeading___Toc5839_2153205702" \h </w:instrText>
          </w:r>
          <w:r>
            <w:fldChar w:fldCharType="separate"/>
          </w:r>
          <w:r>
            <w:rPr>
              <w:rStyle w:val="168"/>
            </w:rPr>
            <w:t>第 5 章 接口访问设计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5622B2A6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"__RefHeading___Toc5841_2153205702" \h </w:instrText>
          </w:r>
          <w:r>
            <w:fldChar w:fldCharType="separate"/>
          </w:r>
          <w:r>
            <w:rPr>
              <w:rStyle w:val="168"/>
            </w:rPr>
            <w:t>5.1 接口设计原则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0C2C7FF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"__RefHeading___Toc5843_2153205702" \h </w:instrText>
          </w:r>
          <w:r>
            <w:fldChar w:fldCharType="separate"/>
          </w:r>
          <w:r>
            <w:rPr>
              <w:rStyle w:val="168"/>
            </w:rPr>
            <w:t>5.2 统一响应格式设计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22352C9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"__RefHeading___Toc5845_2153205702" \h </w:instrText>
          </w:r>
          <w:r>
            <w:fldChar w:fldCharType="separate"/>
          </w:r>
          <w:r>
            <w:rPr>
              <w:rStyle w:val="168"/>
            </w:rPr>
            <w:t>5.3 用户与权限接口设计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6CFCC09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"__RefHeading___Toc5847_2153205702" \h </w:instrText>
          </w:r>
          <w:r>
            <w:fldChar w:fldCharType="separate"/>
          </w:r>
          <w:r>
            <w:rPr>
              <w:rStyle w:val="168"/>
            </w:rPr>
            <w:t>5.4 数据管理接口设计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37749CD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"__RefHeading___Toc5849_2153205702" \h </w:instrText>
          </w:r>
          <w:r>
            <w:fldChar w:fldCharType="separate"/>
          </w:r>
          <w:r>
            <w:rPr>
              <w:rStyle w:val="168"/>
            </w:rPr>
            <w:t>5.5 业务查询接口设计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0FB100D4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"__RefHeading___Toc5851_2153205702" \h </w:instrText>
          </w:r>
          <w:r>
            <w:fldChar w:fldCharType="separate"/>
          </w:r>
          <w:r>
            <w:rPr>
              <w:rStyle w:val="168"/>
            </w:rPr>
            <w:t>5.6 TPC-H 统计分析接口设计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1479850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"__RefHeading___Toc5853_2153205702" \h </w:instrText>
          </w:r>
          <w:r>
            <w:fldChar w:fldCharType="separate"/>
          </w:r>
          <w:r>
            <w:rPr>
              <w:rStyle w:val="168"/>
            </w:rPr>
            <w:t>5.7 TPC-C 事务处理接口设计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14F055DA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"__RefHeading___Toc5855_2153205702" \h </w:instrText>
          </w:r>
          <w:r>
            <w:fldChar w:fldCharType="separate"/>
          </w:r>
          <w:r>
            <w:rPr>
              <w:rStyle w:val="168"/>
            </w:rPr>
            <w:t>5.8 性能结果接口设计</w:t>
          </w:r>
          <w:r>
            <w:rPr>
              <w:rStyle w:val="168"/>
            </w:rPr>
            <w:tab/>
          </w:r>
          <w:r>
            <w:rPr>
              <w:rStyle w:val="168"/>
            </w:rPr>
            <w:t>33</w:t>
          </w:r>
          <w:r>
            <w:rPr>
              <w:rStyle w:val="168"/>
            </w:rPr>
            <w:fldChar w:fldCharType="end"/>
          </w:r>
        </w:p>
        <w:p w14:paraId="631A418B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"__RefHeading___Toc5857_2153205702" \h </w:instrText>
          </w:r>
          <w:r>
            <w:fldChar w:fldCharType="separate"/>
          </w:r>
          <w:r>
            <w:rPr>
              <w:rStyle w:val="168"/>
            </w:rPr>
            <w:t>第 6 章 系统实现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015157ED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"__RefHeading___Toc5859_2153205702" \h </w:instrText>
          </w:r>
          <w:r>
            <w:fldChar w:fldCharType="separate"/>
          </w:r>
          <w:r>
            <w:rPr>
              <w:rStyle w:val="168"/>
            </w:rPr>
            <w:t>6.1 软硬件平台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28A6DE30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"__RefHeading___Toc5861_2153205702" \h </w:instrText>
          </w:r>
          <w:r>
            <w:fldChar w:fldCharType="separate"/>
          </w:r>
          <w:r>
            <w:rPr>
              <w:rStyle w:val="168"/>
            </w:rPr>
            <w:t>6.2 开发环境与工具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24A6AF08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"__RefHeading___Toc5863_2153205702" \h </w:instrText>
          </w:r>
          <w:r>
            <w:fldChar w:fldCharType="separate"/>
          </w:r>
          <w:r>
            <w:rPr>
              <w:rStyle w:val="168"/>
            </w:rPr>
            <w:t>6.3 前端实现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299591D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"__RefHeading___Toc5865_2153205702" \h </w:instrText>
          </w:r>
          <w:r>
            <w:fldChar w:fldCharType="separate"/>
          </w:r>
          <w:r>
            <w:rPr>
              <w:rStyle w:val="168"/>
            </w:rPr>
            <w:t>6.4 后端实现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6A08FC0C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"__RefHeading___Toc5867_2153205702" \h </w:instrText>
          </w:r>
          <w:r>
            <w:fldChar w:fldCharType="separate"/>
          </w:r>
          <w:r>
            <w:rPr>
              <w:rStyle w:val="168"/>
            </w:rPr>
            <w:t>6.5 数据库实现</w:t>
          </w:r>
          <w:r>
            <w:rPr>
              <w:rStyle w:val="168"/>
            </w:rPr>
            <w:tab/>
          </w:r>
          <w:r>
            <w:rPr>
              <w:rStyle w:val="168"/>
            </w:rPr>
            <w:t>35</w:t>
          </w:r>
          <w:r>
            <w:rPr>
              <w:rStyle w:val="168"/>
            </w:rPr>
            <w:fldChar w:fldCharType="end"/>
          </w:r>
        </w:p>
        <w:p w14:paraId="75BA421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"__RefHeading___Toc5869_2153205702" \h </w:instrText>
          </w:r>
          <w:r>
            <w:fldChar w:fldCharType="separate"/>
          </w:r>
          <w:r>
            <w:rPr>
              <w:rStyle w:val="168"/>
            </w:rPr>
            <w:t>6.6 Docker 与正式数据导入实现</w:t>
          </w:r>
          <w:r>
            <w:rPr>
              <w:rStyle w:val="168"/>
            </w:rPr>
            <w:tab/>
          </w:r>
          <w:r>
            <w:rPr>
              <w:rStyle w:val="168"/>
            </w:rPr>
            <w:t>36</w:t>
          </w:r>
          <w:r>
            <w:rPr>
              <w:rStyle w:val="168"/>
            </w:rPr>
            <w:fldChar w:fldCharType="end"/>
          </w:r>
        </w:p>
        <w:p w14:paraId="058774AF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"__RefHeading___Toc5871_2153205702" \h </w:instrText>
          </w:r>
          <w:r>
            <w:fldChar w:fldCharType="separate"/>
          </w:r>
          <w:r>
            <w:rPr>
              <w:rStyle w:val="168"/>
            </w:rPr>
            <w:t>6.7 TPC-H 统计分析实现</w:t>
          </w:r>
          <w:r>
            <w:rPr>
              <w:rStyle w:val="168"/>
            </w:rPr>
            <w:tab/>
          </w:r>
          <w:r>
            <w:rPr>
              <w:rStyle w:val="168"/>
            </w:rPr>
            <w:t>38</w:t>
          </w:r>
          <w:r>
            <w:rPr>
              <w:rStyle w:val="168"/>
            </w:rPr>
            <w:fldChar w:fldCharType="end"/>
          </w:r>
        </w:p>
        <w:p w14:paraId="389413C0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"__RefHeading___Toc5873_2153205702" \h </w:instrText>
          </w:r>
          <w:r>
            <w:fldChar w:fldCharType="separate"/>
          </w:r>
          <w:r>
            <w:rPr>
              <w:rStyle w:val="168"/>
            </w:rPr>
            <w:t>6.8 TPC-C 事务处理实现</w:t>
          </w:r>
          <w:r>
            <w:rPr>
              <w:rStyle w:val="168"/>
            </w:rPr>
            <w:tab/>
          </w:r>
          <w:r>
            <w:rPr>
              <w:rStyle w:val="168"/>
            </w:rPr>
            <w:t>39</w:t>
          </w:r>
          <w:r>
            <w:rPr>
              <w:rStyle w:val="168"/>
            </w:rPr>
            <w:fldChar w:fldCharType="end"/>
          </w:r>
        </w:p>
        <w:p w14:paraId="23C66CBE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"__RefHeading___Toc5875_2153205702" \h </w:instrText>
          </w:r>
          <w:r>
            <w:fldChar w:fldCharType="separate"/>
          </w:r>
          <w:r>
            <w:rPr>
              <w:rStyle w:val="168"/>
            </w:rPr>
            <w:t>6.9 性能测试实现</w:t>
          </w:r>
          <w:r>
            <w:rPr>
              <w:rStyle w:val="168"/>
            </w:rPr>
            <w:tab/>
          </w:r>
          <w:r>
            <w:rPr>
              <w:rStyle w:val="168"/>
            </w:rPr>
            <w:t>42</w:t>
          </w:r>
          <w:r>
            <w:rPr>
              <w:rStyle w:val="168"/>
            </w:rPr>
            <w:fldChar w:fldCharType="end"/>
          </w:r>
        </w:p>
        <w:p w14:paraId="0E466D26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"__RefHeading___Toc5877_2153205702" \h </w:instrText>
          </w:r>
          <w:r>
            <w:fldChar w:fldCharType="separate"/>
          </w:r>
          <w:r>
            <w:rPr>
              <w:rStyle w:val="168"/>
            </w:rPr>
            <w:t>第 7 章 查询优化与性能分析</w:t>
          </w:r>
          <w:r>
            <w:rPr>
              <w:rStyle w:val="168"/>
            </w:rPr>
            <w:tab/>
          </w:r>
          <w:r>
            <w:rPr>
              <w:rStyle w:val="168"/>
            </w:rPr>
            <w:t>43</w:t>
          </w:r>
          <w:r>
            <w:rPr>
              <w:rStyle w:val="168"/>
            </w:rPr>
            <w:fldChar w:fldCharType="end"/>
          </w:r>
        </w:p>
        <w:p w14:paraId="3ED60027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"__RefHeading___Toc5879_2153205702" \h </w:instrText>
          </w:r>
          <w:r>
            <w:fldChar w:fldCharType="separate"/>
          </w:r>
          <w:r>
            <w:rPr>
              <w:rStyle w:val="168"/>
            </w:rPr>
            <w:t>7.1 TPC-H 查询执行时间统计</w:t>
          </w:r>
          <w:r>
            <w:rPr>
              <w:rStyle w:val="168"/>
            </w:rPr>
            <w:tab/>
          </w:r>
          <w:r>
            <w:rPr>
              <w:rStyle w:val="168"/>
            </w:rPr>
            <w:t>43</w:t>
          </w:r>
          <w:r>
            <w:rPr>
              <w:rStyle w:val="168"/>
            </w:rPr>
            <w:fldChar w:fldCharType="end"/>
          </w:r>
        </w:p>
        <w:p w14:paraId="32D0BE9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"__RefHeading___Toc5881_2153205702" \h </w:instrText>
          </w:r>
          <w:r>
            <w:fldChar w:fldCharType="separate"/>
          </w:r>
          <w:r>
            <w:rPr>
              <w:rStyle w:val="168"/>
            </w:rPr>
            <w:t>7.2 EXPLAIN ANALYZE 执行计划分析</w:t>
          </w:r>
          <w:r>
            <w:rPr>
              <w:rStyle w:val="168"/>
            </w:rPr>
            <w:tab/>
          </w:r>
          <w:r>
            <w:rPr>
              <w:rStyle w:val="168"/>
            </w:rPr>
            <w:t>43</w:t>
          </w:r>
          <w:r>
            <w:rPr>
              <w:rStyle w:val="168"/>
            </w:rPr>
            <w:fldChar w:fldCharType="end"/>
          </w:r>
        </w:p>
        <w:p w14:paraId="0D2CB2AD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"__RefHeading___Toc5883_2153205702" \h </w:instrText>
          </w:r>
          <w:r>
            <w:fldChar w:fldCharType="separate"/>
          </w:r>
          <w:r>
            <w:rPr>
              <w:rStyle w:val="168"/>
            </w:rPr>
            <w:t>7.3 索引前后对比分析</w:t>
          </w:r>
          <w:r>
            <w:rPr>
              <w:rStyle w:val="168"/>
            </w:rPr>
            <w:tab/>
          </w:r>
          <w:r>
            <w:rPr>
              <w:rStyle w:val="168"/>
            </w:rPr>
            <w:t>44</w:t>
          </w:r>
          <w:r>
            <w:rPr>
              <w:rStyle w:val="168"/>
            </w:rPr>
            <w:fldChar w:fldCharType="end"/>
          </w:r>
        </w:p>
        <w:p w14:paraId="06CF4814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"__RefHeading___Toc5885_2153205702" \h </w:instrText>
          </w:r>
          <w:r>
            <w:fldChar w:fldCharType="separate"/>
          </w:r>
          <w:r>
            <w:rPr>
              <w:rStyle w:val="168"/>
            </w:rPr>
            <w:t>7.4 TPC-H 并发查询测试</w:t>
          </w:r>
          <w:r>
            <w:rPr>
              <w:rStyle w:val="168"/>
            </w:rPr>
            <w:tab/>
          </w:r>
          <w:r>
            <w:rPr>
              <w:rStyle w:val="168"/>
            </w:rPr>
            <w:t>45</w:t>
          </w:r>
          <w:r>
            <w:rPr>
              <w:rStyle w:val="168"/>
            </w:rPr>
            <w:fldChar w:fldCharType="end"/>
          </w:r>
        </w:p>
        <w:p w14:paraId="590CE7B4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"__RefHeading___Toc5887_2153205702" \h </w:instrText>
          </w:r>
          <w:r>
            <w:fldChar w:fldCharType="separate"/>
          </w:r>
          <w:r>
            <w:rPr>
              <w:rStyle w:val="168"/>
            </w:rPr>
            <w:t>7.5 TPC-C 并发事务测试</w:t>
          </w:r>
          <w:r>
            <w:rPr>
              <w:rStyle w:val="168"/>
            </w:rPr>
            <w:tab/>
          </w:r>
          <w:r>
            <w:rPr>
              <w:rStyle w:val="168"/>
            </w:rPr>
            <w:t>45</w:t>
          </w:r>
          <w:r>
            <w:rPr>
              <w:rStyle w:val="168"/>
            </w:rPr>
            <w:fldChar w:fldCharType="end"/>
          </w:r>
        </w:p>
        <w:p w14:paraId="5F21C65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"__RefHeading___Toc5889_2153205702" \h </w:instrText>
          </w:r>
          <w:r>
            <w:fldChar w:fldCharType="separate"/>
          </w:r>
          <w:r>
            <w:rPr>
              <w:rStyle w:val="168"/>
            </w:rPr>
            <w:t>7.6 性能分析结论</w:t>
          </w:r>
          <w:r>
            <w:rPr>
              <w:rStyle w:val="168"/>
            </w:rPr>
            <w:tab/>
          </w:r>
          <w:r>
            <w:rPr>
              <w:rStyle w:val="168"/>
            </w:rPr>
            <w:t>45</w:t>
          </w:r>
          <w:r>
            <w:rPr>
              <w:rStyle w:val="168"/>
            </w:rPr>
            <w:fldChar w:fldCharType="end"/>
          </w:r>
        </w:p>
        <w:p w14:paraId="2DC22124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"__RefHeading___Toc5891_2153205702" \h </w:instrText>
          </w:r>
          <w:r>
            <w:fldChar w:fldCharType="separate"/>
          </w:r>
          <w:r>
            <w:rPr>
              <w:rStyle w:val="168"/>
            </w:rPr>
            <w:t>第 8 章 系统运行示例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0B7E2465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"__RefHeading___Toc5893_2153205702" \h </w:instrText>
          </w:r>
          <w:r>
            <w:fldChar w:fldCharType="separate"/>
          </w:r>
          <w:r>
            <w:rPr>
              <w:rStyle w:val="168"/>
            </w:rPr>
            <w:t>8.1 用户管理功能运行示例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0146E0A8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"__RefHeading___Toc5895_2153205702" \h </w:instrText>
          </w:r>
          <w:r>
            <w:fldChar w:fldCharType="separate"/>
          </w:r>
          <w:r>
            <w:rPr>
              <w:rStyle w:val="168"/>
            </w:rPr>
            <w:t>8.2 数据管理功能运行示例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172535B8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"__RefHeading___Toc5897_2153205702" \h </w:instrText>
          </w:r>
          <w:r>
            <w:fldChar w:fldCharType="separate"/>
          </w:r>
          <w:r>
            <w:rPr>
              <w:rStyle w:val="168"/>
            </w:rPr>
            <w:t>8.3 业务查询功能运行示例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098A9F87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"__RefHeading___Toc5899_2153205702" \h </w:instrText>
          </w:r>
          <w:r>
            <w:fldChar w:fldCharType="separate"/>
          </w:r>
          <w:r>
            <w:rPr>
              <w:rStyle w:val="168"/>
            </w:rPr>
            <w:t>8.4 TPC-H 统计分析功能运行示例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2616A831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"__RefHeading___Toc5901_2153205702" \h </w:instrText>
          </w:r>
          <w:r>
            <w:fldChar w:fldCharType="separate"/>
          </w:r>
          <w:r>
            <w:rPr>
              <w:rStyle w:val="168"/>
            </w:rPr>
            <w:t>8.5 TPC-C 事务与性能分析功能运行示例</w:t>
          </w:r>
          <w:r>
            <w:rPr>
              <w:rStyle w:val="168"/>
            </w:rPr>
            <w:tab/>
          </w:r>
          <w:r>
            <w:rPr>
              <w:rStyle w:val="168"/>
            </w:rPr>
            <w:t>47</w:t>
          </w:r>
          <w:r>
            <w:rPr>
              <w:rStyle w:val="168"/>
            </w:rPr>
            <w:fldChar w:fldCharType="end"/>
          </w:r>
        </w:p>
        <w:p w14:paraId="4E3F2D17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"__RefHeading___Toc5903_2153205702" \h </w:instrText>
          </w:r>
          <w:r>
            <w:fldChar w:fldCharType="separate"/>
          </w:r>
          <w:r>
            <w:rPr>
              <w:rStyle w:val="168"/>
            </w:rPr>
            <w:t>第 9 章 小组分工与项目协作</w:t>
          </w:r>
          <w:r>
            <w:rPr>
              <w:rStyle w:val="168"/>
            </w:rPr>
            <w:tab/>
          </w:r>
          <w:r>
            <w:rPr>
              <w:rStyle w:val="168"/>
            </w:rPr>
            <w:t>48</w:t>
          </w:r>
          <w:r>
            <w:rPr>
              <w:rStyle w:val="168"/>
            </w:rPr>
            <w:fldChar w:fldCharType="end"/>
          </w:r>
        </w:p>
        <w:p w14:paraId="68B19FE9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"__RefHeading___Toc5905_2153205702" \h </w:instrText>
          </w:r>
          <w:r>
            <w:fldChar w:fldCharType="separate"/>
          </w:r>
          <w:r>
            <w:rPr>
              <w:rStyle w:val="168"/>
            </w:rPr>
            <w:t>9.1 小组成员分工</w:t>
          </w:r>
          <w:r>
            <w:rPr>
              <w:rStyle w:val="168"/>
            </w:rPr>
            <w:tab/>
          </w:r>
          <w:r>
            <w:rPr>
              <w:rStyle w:val="168"/>
            </w:rPr>
            <w:t>48</w:t>
          </w:r>
          <w:r>
            <w:rPr>
              <w:rStyle w:val="168"/>
            </w:rPr>
            <w:fldChar w:fldCharType="end"/>
          </w:r>
        </w:p>
        <w:p w14:paraId="015099FF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"__RefHeading___Toc5907_2153205702" \h </w:instrText>
          </w:r>
          <w:r>
            <w:fldChar w:fldCharType="separate"/>
          </w:r>
          <w:r>
            <w:rPr>
              <w:rStyle w:val="168"/>
            </w:rPr>
            <w:t>9.2 协作规范</w:t>
          </w:r>
          <w:r>
            <w:rPr>
              <w:rStyle w:val="168"/>
            </w:rPr>
            <w:tab/>
          </w:r>
          <w:r>
            <w:rPr>
              <w:rStyle w:val="168"/>
            </w:rPr>
            <w:t>48</w:t>
          </w:r>
          <w:r>
            <w:rPr>
              <w:rStyle w:val="168"/>
            </w:rPr>
            <w:fldChar w:fldCharType="end"/>
          </w:r>
        </w:p>
        <w:p w14:paraId="0C3071C7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"__RefHeading___Toc5909_2153205702" \h </w:instrText>
          </w:r>
          <w:r>
            <w:fldChar w:fldCharType="separate"/>
          </w:r>
          <w:r>
            <w:rPr>
              <w:rStyle w:val="168"/>
            </w:rPr>
            <w:t>9.3 各成员交付物</w:t>
          </w:r>
          <w:r>
            <w:rPr>
              <w:rStyle w:val="168"/>
            </w:rPr>
            <w:tab/>
          </w:r>
          <w:r>
            <w:rPr>
              <w:rStyle w:val="168"/>
            </w:rPr>
            <w:t>48</w:t>
          </w:r>
          <w:r>
            <w:rPr>
              <w:rStyle w:val="168"/>
            </w:rPr>
            <w:fldChar w:fldCharType="end"/>
          </w:r>
        </w:p>
        <w:p w14:paraId="3989A43B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"__RefHeading___Toc5911_2153205702" \h </w:instrText>
          </w:r>
          <w:r>
            <w:fldChar w:fldCharType="separate"/>
          </w:r>
          <w:r>
            <w:rPr>
              <w:rStyle w:val="168"/>
            </w:rPr>
            <w:t>9.4 项目开发进度安排</w:t>
          </w:r>
          <w:r>
            <w:rPr>
              <w:rStyle w:val="168"/>
            </w:rPr>
            <w:tab/>
          </w:r>
          <w:r>
            <w:rPr>
              <w:rStyle w:val="168"/>
            </w:rPr>
            <w:t>48</w:t>
          </w:r>
          <w:r>
            <w:rPr>
              <w:rStyle w:val="168"/>
            </w:rPr>
            <w:fldChar w:fldCharType="end"/>
          </w:r>
        </w:p>
        <w:p w14:paraId="706E2E9B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"__RefHeading___Toc5913_2153205702" \h </w:instrText>
          </w:r>
          <w:r>
            <w:fldChar w:fldCharType="separate"/>
          </w:r>
          <w:r>
            <w:rPr>
              <w:rStyle w:val="168"/>
            </w:rPr>
            <w:t>第 10 章 总结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4DFED74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"__RefHeading___Toc5915_2153205702" \h </w:instrText>
          </w:r>
          <w:r>
            <w:fldChar w:fldCharType="separate"/>
          </w:r>
          <w:r>
            <w:rPr>
              <w:rStyle w:val="168"/>
            </w:rPr>
            <w:t>10.1 项目完成情况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4494EEFF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"__RefHeading___Toc5917_2153205702" \h </w:instrText>
          </w:r>
          <w:r>
            <w:fldChar w:fldCharType="separate"/>
          </w:r>
          <w:r>
            <w:rPr>
              <w:rStyle w:val="168"/>
            </w:rPr>
            <w:t>10.2 项目特色与亮点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20A17552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"__RefHeading___Toc5919_2153205702" \h </w:instrText>
          </w:r>
          <w:r>
            <w:fldChar w:fldCharType="separate"/>
          </w:r>
          <w:r>
            <w:rPr>
              <w:rStyle w:val="168"/>
            </w:rPr>
            <w:t>10.3 存在的问题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6D1E859B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"__RefHeading___Toc5921_2153205702" \h </w:instrText>
          </w:r>
          <w:r>
            <w:fldChar w:fldCharType="separate"/>
          </w:r>
          <w:r>
            <w:rPr>
              <w:rStyle w:val="168"/>
            </w:rPr>
            <w:t>10.4 改进方向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46F87BB3">
          <w:pPr>
            <w:pStyle w:val="33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"__RefHeading___Toc5923_2153205702" \h </w:instrText>
          </w:r>
          <w:r>
            <w:fldChar w:fldCharType="separate"/>
          </w:r>
          <w:r>
            <w:rPr>
              <w:rStyle w:val="168"/>
            </w:rPr>
            <w:t>10.5 课程设计收获</w:t>
          </w:r>
          <w:r>
            <w:rPr>
              <w:rStyle w:val="168"/>
            </w:rPr>
            <w:tab/>
          </w:r>
          <w:r>
            <w:rPr>
              <w:rStyle w:val="168"/>
            </w:rPr>
            <w:t>49</w:t>
          </w:r>
          <w:r>
            <w:rPr>
              <w:rStyle w:val="168"/>
            </w:rPr>
            <w:fldChar w:fldCharType="end"/>
          </w:r>
        </w:p>
        <w:p w14:paraId="45AE6D8D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"__RefHeading___Toc5925_2153205702" \h </w:instrText>
          </w:r>
          <w:r>
            <w:fldChar w:fldCharType="separate"/>
          </w:r>
          <w:r>
            <w:rPr>
              <w:rStyle w:val="168"/>
            </w:rPr>
            <w:t>附录一 核心 SQL 脚本</w:t>
          </w:r>
          <w:r>
            <w:rPr>
              <w:rStyle w:val="168"/>
            </w:rPr>
            <w:tab/>
          </w:r>
          <w:r>
            <w:rPr>
              <w:rStyle w:val="168"/>
            </w:rPr>
            <w:t>50</w:t>
          </w:r>
          <w:r>
            <w:rPr>
              <w:rStyle w:val="168"/>
            </w:rPr>
            <w:fldChar w:fldCharType="end"/>
          </w:r>
        </w:p>
        <w:p w14:paraId="4FAD86CC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"__RefHeading___Toc5927_2153205702" \h </w:instrText>
          </w:r>
          <w:r>
            <w:fldChar w:fldCharType="separate"/>
          </w:r>
          <w:r>
            <w:rPr>
              <w:rStyle w:val="168"/>
            </w:rPr>
            <w:t>附录二 API 接口清单</w:t>
          </w:r>
          <w:r>
            <w:rPr>
              <w:rStyle w:val="168"/>
            </w:rPr>
            <w:tab/>
          </w:r>
          <w:r>
            <w:rPr>
              <w:rStyle w:val="168"/>
            </w:rPr>
            <w:t>50</w:t>
          </w:r>
          <w:r>
            <w:rPr>
              <w:rStyle w:val="168"/>
            </w:rPr>
            <w:fldChar w:fldCharType="end"/>
          </w:r>
        </w:p>
        <w:p w14:paraId="4F193260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"__RefHeading___Toc5929_2153205702" \h </w:instrText>
          </w:r>
          <w:r>
            <w:fldChar w:fldCharType="separate"/>
          </w:r>
          <w:r>
            <w:rPr>
              <w:rStyle w:val="168"/>
            </w:rPr>
            <w:t>附录三 性能测试结果</w:t>
          </w:r>
          <w:r>
            <w:rPr>
              <w:rStyle w:val="168"/>
            </w:rPr>
            <w:tab/>
          </w:r>
          <w:r>
            <w:rPr>
              <w:rStyle w:val="168"/>
            </w:rPr>
            <w:t>50</w:t>
          </w:r>
          <w:r>
            <w:rPr>
              <w:rStyle w:val="168"/>
            </w:rPr>
            <w:fldChar w:fldCharType="end"/>
          </w:r>
        </w:p>
        <w:p w14:paraId="14AE66CB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"__RefHeading___Toc5931_2153205702" \h </w:instrText>
          </w:r>
          <w:r>
            <w:fldChar w:fldCharType="separate"/>
          </w:r>
          <w:r>
            <w:rPr>
              <w:rStyle w:val="168"/>
            </w:rPr>
            <w:t>附录四 系统部署与运行说明</w:t>
          </w:r>
          <w:r>
            <w:rPr>
              <w:rStyle w:val="168"/>
            </w:rPr>
            <w:tab/>
          </w:r>
          <w:r>
            <w:rPr>
              <w:rStyle w:val="168"/>
            </w:rPr>
            <w:t>51</w:t>
          </w:r>
          <w:r>
            <w:rPr>
              <w:rStyle w:val="168"/>
            </w:rPr>
            <w:fldChar w:fldCharType="end"/>
          </w:r>
        </w:p>
        <w:p w14:paraId="01AA2C07">
          <w:pPr>
            <w:pStyle w:val="28"/>
            <w:tabs>
              <w:tab w:val="right" w:leader="dot" w:pos="9178"/>
            </w:tabs>
          </w:pPr>
          <w:r>
            <w:fldChar w:fldCharType="begin"/>
          </w:r>
          <w:r>
            <w:instrText xml:space="preserve"> HYPERLINK \l "__RefHeading___Toc5933_2153205702" \h </w:instrText>
          </w:r>
          <w:r>
            <w:fldChar w:fldCharType="separate"/>
          </w:r>
          <w:r>
            <w:rPr>
              <w:rStyle w:val="168"/>
            </w:rPr>
            <w:t>附录五 系统主要截图</w:t>
          </w:r>
          <w:r>
            <w:rPr>
              <w:rStyle w:val="168"/>
            </w:rPr>
            <w:tab/>
          </w:r>
          <w:r>
            <w:rPr>
              <w:rStyle w:val="168"/>
            </w:rPr>
            <w:t>51</w:t>
          </w:r>
          <w:r>
            <w:rPr>
              <w:rStyle w:val="168"/>
            </w:rPr>
            <w:fldChar w:fldCharType="end"/>
          </w:r>
          <w:r>
            <w:rPr>
              <w:rStyle w:val="168"/>
            </w:rPr>
            <w:fldChar w:fldCharType="end"/>
          </w:r>
        </w:p>
      </w:sdtContent>
    </w:sdt>
    <w:p w14:paraId="7867B772">
      <w:pPr>
        <w:spacing w:after="0"/>
        <w:rPr>
          <w:lang w:eastAsia="zh-CN"/>
        </w:rPr>
      </w:pPr>
    </w:p>
    <w:p w14:paraId="3DF58561">
      <w:pPr>
        <w:spacing w:after="0"/>
        <w:rPr>
          <w:lang w:eastAsia="zh-CN"/>
        </w:rPr>
      </w:pPr>
      <w:r>
        <w:br w:type="page"/>
      </w:r>
    </w:p>
    <w:p w14:paraId="0F0AAE16">
      <w:pPr>
        <w:pStyle w:val="3"/>
        <w:spacing w:before="0" w:after="240"/>
        <w:jc w:val="center"/>
        <w:rPr>
          <w:lang w:eastAsia="zh-CN"/>
        </w:rPr>
      </w:pPr>
      <w:bookmarkStart w:id="2" w:name="__RefHeading___Toc5771_2153205702"/>
      <w:bookmarkEnd w:id="2"/>
      <w:r>
        <w:rPr>
          <w:rFonts w:ascii="Times New Roman" w:hAnsi="Times New Roman" w:eastAsia="黑体"/>
          <w:lang w:eastAsia="zh-CN"/>
        </w:rPr>
        <w:t>第 1 章 课程设计的目的与内容</w:t>
      </w:r>
    </w:p>
    <w:p w14:paraId="27C53F49">
      <w:pPr>
        <w:pStyle w:val="4"/>
        <w:spacing w:before="200"/>
        <w:rPr>
          <w:lang w:eastAsia="zh-CN"/>
        </w:rPr>
      </w:pPr>
      <w:bookmarkStart w:id="3" w:name="__RefHeading___Toc5773_2153205702"/>
      <w:bookmarkEnd w:id="3"/>
      <w:r>
        <w:rPr>
          <w:rFonts w:ascii="Times New Roman" w:hAnsi="Times New Roman" w:eastAsia="黑体"/>
          <w:lang w:eastAsia="zh-CN"/>
        </w:rPr>
        <w:t>1.1 课程设计目的</w:t>
      </w:r>
    </w:p>
    <w:p w14:paraId="55199D53">
      <w:pPr>
        <w:spacing w:after="0"/>
        <w:rPr>
          <w:lang w:eastAsia="zh-CN"/>
        </w:rPr>
      </w:pPr>
      <w:r>
        <w:rPr>
          <w:lang w:eastAsia="zh-CN"/>
        </w:rPr>
        <w:t>本课程设计以“电商数据管理与基准测试分析系统”为综合实践对象，围绕数据库系统从需求分析、概念设计、逻辑设计、物理设计到系统实现、事务处理、查询优化和性能分析的完整过程展开。系统不是单纯创建若干数据表，而是将数据库作为业务系统的核心基础设施，要求通过可运行的 SQL、可调用的接口、可展示的页面和可复现的性能实验共同证明设计的合理性。</w:t>
      </w:r>
    </w:p>
    <w:p w14:paraId="52B54FC5">
      <w:pPr>
        <w:spacing w:after="0"/>
        <w:rPr>
          <w:lang w:eastAsia="zh-CN"/>
        </w:rPr>
      </w:pPr>
      <w:r>
        <w:rPr>
          <w:lang w:eastAsia="zh-CN"/>
        </w:rPr>
        <w:t>课程设计的主要目的包括三个层次。第一，训练数据库建模能力，将电商业务中的客户、订单、供应商、零部件、仓库、库存、支付历史和系统日志抽象为关系模型，并通过主键、外键、唯一约束和 CHECK 约束保证数据完整性。第二，训练数据库应用开发能力，使数据库表结构、后端接口字段、前端展示字段和 Mock 契约保持一致，避免跨层字段不一致造成联调失败。第三，训练数据库性能分析能力，在正式数据规模下采集 EXPLAIN ANALYZE、索引前后对比和并发测试结果，从执行计划角度解释系统性能变化。</w:t>
      </w:r>
    </w:p>
    <w:p w14:paraId="10C21182">
      <w:pPr>
        <w:spacing w:after="0"/>
        <w:rPr>
          <w:lang w:eastAsia="zh-CN"/>
        </w:rPr>
      </w:pPr>
      <w:r>
        <w:rPr>
          <w:lang w:eastAsia="zh-CN"/>
        </w:rPr>
        <w:t>系统同时引入 TPC-H 和 TPC-C 两类典型数据库基准模型。TPC-H 侧重复杂分析查询，适合观察大表扫描、多表连接、分组聚合、日期过滤和索引优化效果；TPC-C 侧重在线事务处理，适合验证订单创建、支付更新、库存扣减、事务提交、异常回滚和日志审计能力。将二者结合到电商场景中，可以使课程设计同时覆盖分析型数据库能力和事务型数据库能力。</w:t>
      </w:r>
    </w:p>
    <w:p w14:paraId="00267302">
      <w:pPr>
        <w:pStyle w:val="4"/>
        <w:spacing w:before="200"/>
        <w:rPr>
          <w:lang w:eastAsia="zh-CN"/>
        </w:rPr>
      </w:pPr>
      <w:bookmarkStart w:id="4" w:name="__RefHeading___Toc5775_2153205702"/>
      <w:bookmarkEnd w:id="4"/>
      <w:r>
        <w:rPr>
          <w:rFonts w:ascii="Times New Roman" w:hAnsi="Times New Roman" w:eastAsia="黑体"/>
          <w:lang w:eastAsia="zh-CN"/>
        </w:rPr>
        <w:t>1.2 课程设计内容</w:t>
      </w:r>
    </w:p>
    <w:p w14:paraId="5E16D1D7">
      <w:pPr>
        <w:spacing w:after="0"/>
        <w:rPr>
          <w:lang w:eastAsia="zh-CN"/>
        </w:rPr>
      </w:pPr>
      <w:r>
        <w:rPr>
          <w:lang w:eastAsia="zh-CN"/>
        </w:rPr>
        <w:t>课程设计内容覆盖用户与权限管理、数据导入与清洗、业务查询、TPC-H 统计分析、TPC-C 事务处理、日志审计、查询优化、执行计划分析、性能测试和可视化展示等环节。系统以 PostgreSQL 作为数据库平台，以 sql/ 目录中的脚本作为唯一 SQL 源资产，以 Spring Boot REST API 作为应用访问入口，以 Vue 3 页面和图表作为展示载体，并通过 Docker 与性能测试脚本保证实验环境可复现。</w:t>
      </w:r>
    </w:p>
    <w:p w14:paraId="2C7D1534">
      <w:pPr>
        <w:spacing w:after="0"/>
        <w:rPr>
          <w:lang w:eastAsia="zh-CN"/>
        </w:rPr>
      </w:pPr>
      <w:r>
        <w:rPr>
          <w:lang w:eastAsia="zh-CN"/>
        </w:rPr>
        <w:t>数据库部分完成 TPC-H 八张核心表、课程最小 TPC-C 事务表以及应用辅助表的设计。所有数据库对象统一采用小写 snake_case 命名，避免 PostgreSQL 大小写敏感和双引号对象名带来的维护问题。数据库脚本中包含建表、约束、触发器、存储过程、索引、样例数据和 EXPLAIN 模板，使数据完整性、事务审计和性能分析均具有可执行依据。</w:t>
      </w:r>
    </w:p>
    <w:p w14:paraId="55A32390">
      <w:pPr>
        <w:spacing w:after="0"/>
        <w:rPr>
          <w:lang w:eastAsia="zh-CN"/>
        </w:rPr>
      </w:pPr>
      <w:r>
        <w:rPr>
          <w:lang w:eastAsia="zh-CN"/>
        </w:rPr>
        <w:t>应用实现围绕真实系统联调展开。后端服务封装用户管理、导入清洗、业务查询、TPC-H 查询和 TPC-C 事务流程，并将数据库字段映射为 lowerCamelCase API 字段；前端与可视化模块负责页面、表格、图表和交互提示；部署与性能测试模块负责 Docker 数据库初始化、正式数据导入、并发测试及实验结果归档。各模块通过统一契约衔接，保证数据库、接口与页面的一致性。</w:t>
      </w:r>
    </w:p>
    <w:p w14:paraId="6E982393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1-1 课程设计内容与能力目标对应表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64F2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5D99BD8E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设计内容</w:t>
            </w:r>
          </w:p>
        </w:tc>
        <w:tc>
          <w:tcPr>
            <w:tcW w:w="3060" w:type="dxa"/>
            <w:vAlign w:val="center"/>
          </w:tcPr>
          <w:p w14:paraId="6E09D3DD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主要任务</w:t>
            </w:r>
          </w:p>
        </w:tc>
        <w:tc>
          <w:tcPr>
            <w:tcW w:w="3060" w:type="dxa"/>
            <w:vAlign w:val="center"/>
          </w:tcPr>
          <w:p w14:paraId="0A11B8FA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能力目标</w:t>
            </w:r>
          </w:p>
        </w:tc>
      </w:tr>
      <w:tr w14:paraId="7A17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5E9D147">
            <w:pPr>
              <w:spacing w:after="0"/>
            </w:pPr>
            <w:r>
              <w:rPr>
                <w:sz w:val="18"/>
              </w:rPr>
              <w:t>数据库建模</w:t>
            </w:r>
          </w:p>
        </w:tc>
        <w:tc>
          <w:tcPr>
            <w:tcW w:w="3060" w:type="dxa"/>
            <w:vAlign w:val="center"/>
          </w:tcPr>
          <w:p w14:paraId="660E6D2D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 TPC-H、TPC-C 和应用辅助表，设计主键、外键、CHECK、唯一约束和默认值</w:t>
            </w:r>
          </w:p>
        </w:tc>
        <w:tc>
          <w:tcPr>
            <w:tcW w:w="3060" w:type="dxa"/>
            <w:vAlign w:val="center"/>
          </w:tcPr>
          <w:p w14:paraId="527F562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训练概念建模、逻辑建模、关系表设计和完整性约束设计能力</w:t>
            </w:r>
          </w:p>
        </w:tc>
      </w:tr>
      <w:tr w14:paraId="0D57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36C87AA">
            <w:pPr>
              <w:spacing w:after="0"/>
            </w:pPr>
            <w:r>
              <w:rPr>
                <w:sz w:val="18"/>
              </w:rPr>
              <w:t>事务处理</w:t>
            </w:r>
          </w:p>
        </w:tc>
        <w:tc>
          <w:tcPr>
            <w:tcW w:w="3060" w:type="dxa"/>
            <w:vAlign w:val="center"/>
          </w:tcPr>
          <w:p w14:paraId="759D25A6">
            <w:pPr>
              <w:spacing w:after="0"/>
            </w:pPr>
            <w:r>
              <w:rPr>
                <w:sz w:val="18"/>
              </w:rPr>
              <w:t>实现 New-Order 与 Payment 的 SQL 步骤、提交、回滚、库存变化和事务日志</w:t>
            </w:r>
          </w:p>
        </w:tc>
        <w:tc>
          <w:tcPr>
            <w:tcW w:w="3060" w:type="dxa"/>
            <w:vAlign w:val="center"/>
          </w:tcPr>
          <w:p w14:paraId="28BA478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训练事务一致性、并发场景下的数据安全和审计设计能力</w:t>
            </w:r>
          </w:p>
        </w:tc>
      </w:tr>
      <w:tr w14:paraId="3E34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DBA423A">
            <w:pPr>
              <w:spacing w:after="0"/>
            </w:pPr>
            <w:r>
              <w:rPr>
                <w:sz w:val="18"/>
              </w:rPr>
              <w:t>查询分析</w:t>
            </w:r>
          </w:p>
        </w:tc>
        <w:tc>
          <w:tcPr>
            <w:tcW w:w="3060" w:type="dxa"/>
            <w:vAlign w:val="center"/>
          </w:tcPr>
          <w:p w14:paraId="1D8B8BF4">
            <w:pPr>
              <w:spacing w:after="0"/>
            </w:pPr>
            <w:r>
              <w:rPr>
                <w:sz w:val="18"/>
              </w:rPr>
              <w:t>实现 Q1、Q5、Q12、Q14 查询、业务查询和 EXPLAIN 模板</w:t>
            </w:r>
          </w:p>
        </w:tc>
        <w:tc>
          <w:tcPr>
            <w:tcW w:w="3060" w:type="dxa"/>
            <w:vAlign w:val="center"/>
          </w:tcPr>
          <w:p w14:paraId="0D84E43D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训练复杂 SQL、聚合分析、连接查询和执行计划理解能力</w:t>
            </w:r>
          </w:p>
        </w:tc>
      </w:tr>
      <w:tr w14:paraId="1D82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613B91B">
            <w:pPr>
              <w:spacing w:after="0"/>
            </w:pPr>
            <w:r>
              <w:rPr>
                <w:sz w:val="18"/>
              </w:rPr>
              <w:t>系统联调</w:t>
            </w:r>
          </w:p>
        </w:tc>
        <w:tc>
          <w:tcPr>
            <w:tcW w:w="3060" w:type="dxa"/>
            <w:vAlign w:val="center"/>
          </w:tcPr>
          <w:p w14:paraId="3DB0F4CF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 API 契约、Mock 契约、字段映射和错误响应</w:t>
            </w:r>
          </w:p>
        </w:tc>
        <w:tc>
          <w:tcPr>
            <w:tcW w:w="3060" w:type="dxa"/>
            <w:vAlign w:val="center"/>
          </w:tcPr>
          <w:p w14:paraId="48AC8549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训练跨层协作、接口契约设计和系统集成能力</w:t>
            </w:r>
          </w:p>
        </w:tc>
      </w:tr>
      <w:tr w14:paraId="6C14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4BC3A73">
            <w:pPr>
              <w:spacing w:after="0"/>
            </w:pPr>
            <w:r>
              <w:rPr>
                <w:sz w:val="18"/>
              </w:rPr>
              <w:t>性能实验</w:t>
            </w:r>
          </w:p>
        </w:tc>
        <w:tc>
          <w:tcPr>
            <w:tcW w:w="3060" w:type="dxa"/>
            <w:vAlign w:val="center"/>
          </w:tcPr>
          <w:p w14:paraId="641B00E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记录索引前后对比、并发指标、吞吐量和查询计划</w:t>
            </w:r>
          </w:p>
        </w:tc>
        <w:tc>
          <w:tcPr>
            <w:tcW w:w="3060" w:type="dxa"/>
            <w:vAlign w:val="center"/>
          </w:tcPr>
          <w:p w14:paraId="7AFD8CEE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训练性能测试、证据采集和实验结论分析能力</w:t>
            </w:r>
          </w:p>
        </w:tc>
      </w:tr>
    </w:tbl>
    <w:p w14:paraId="67C478DB">
      <w:pPr>
        <w:pStyle w:val="4"/>
        <w:spacing w:before="200"/>
        <w:rPr>
          <w:lang w:eastAsia="zh-CN"/>
        </w:rPr>
      </w:pPr>
      <w:bookmarkStart w:id="5" w:name="__RefHeading___Toc5777_2153205702"/>
      <w:bookmarkEnd w:id="5"/>
      <w:r>
        <w:rPr>
          <w:rFonts w:ascii="Times New Roman" w:hAnsi="Times New Roman" w:eastAsia="黑体"/>
          <w:lang w:eastAsia="zh-CN"/>
        </w:rPr>
        <w:t>1.3 项目背景与系统定位</w:t>
      </w:r>
    </w:p>
    <w:p w14:paraId="775D46FE">
      <w:pPr>
        <w:spacing w:after="0"/>
        <w:rPr>
          <w:lang w:eastAsia="zh-CN"/>
        </w:rPr>
      </w:pPr>
      <w:r>
        <w:rPr>
          <w:lang w:eastAsia="zh-CN"/>
        </w:rPr>
        <w:t>TPC-H 和 TPC-C 是数据库系统教学和数据库性能评测中常见的两类基准模型。TPC-H 通过客户、订单、供应商、国家、区域和订单明细等数据组织复杂分析查询，能够体现分析型场景下的多表连接、聚合计算和日期范围过滤；TPC-C 通过仓库、地区、客户、库存、订单和支付历史等数据组织在线事务，能够体现事务型场景下的数据一致性、库存扣减、余额更新和日志追踪。</w:t>
      </w:r>
    </w:p>
    <w:p w14:paraId="50796B85">
      <w:pPr>
        <w:spacing w:after="0"/>
        <w:rPr>
          <w:lang w:eastAsia="zh-CN"/>
        </w:rPr>
      </w:pPr>
      <w:r>
        <w:rPr>
          <w:lang w:eastAsia="zh-CN"/>
        </w:rPr>
        <w:t>本系统定位为课程设计场景下的“电商数据管理与基准测试分析系统”，不是普通后台管理系统，也不是完整商用电商平台。系统重点不在商品展示、购物车营销或支付网关，而在用可运行数据库、可调用接口、可展示页面和可复现实验材料说明数据库设计的规范性、事务处理的完整性以及查询优化的可解释性。</w:t>
      </w:r>
    </w:p>
    <w:p w14:paraId="5D1EA0DC">
      <w:pPr>
        <w:spacing w:after="0"/>
        <w:rPr>
          <w:lang w:eastAsia="zh-CN"/>
        </w:rPr>
      </w:pPr>
      <w:r>
        <w:rPr>
          <w:lang w:eastAsia="zh-CN"/>
        </w:rPr>
        <w:t>TPC-C 部分采用课程最小实现口径，只覆盖 New-Order 与 Payment 所需的核心字段和事务流程，不追求完整 BenchmarkSQL 兼容。该选择能够降低无关字段对课程目标的干扰，同时保留事务一致性、库存审计、支付历史记录和异常回滚等关键教学价值。</w:t>
      </w:r>
    </w:p>
    <w:p w14:paraId="7B0E0610">
      <w:pPr>
        <w:pStyle w:val="4"/>
        <w:spacing w:before="200"/>
        <w:rPr>
          <w:lang w:eastAsia="zh-CN"/>
        </w:rPr>
      </w:pPr>
      <w:bookmarkStart w:id="6" w:name="__RefHeading___Toc5779_2153205702"/>
      <w:bookmarkEnd w:id="6"/>
      <w:r>
        <w:rPr>
          <w:rFonts w:ascii="Times New Roman" w:hAnsi="Times New Roman" w:eastAsia="黑体"/>
          <w:lang w:eastAsia="zh-CN"/>
        </w:rPr>
        <w:t>1.4 项目技术路线</w:t>
      </w:r>
    </w:p>
    <w:p w14:paraId="640B9476">
      <w:pPr>
        <w:spacing w:after="0"/>
        <w:rPr>
          <w:lang w:eastAsia="zh-CN"/>
        </w:rPr>
      </w:pPr>
      <w:r>
        <w:rPr>
          <w:lang w:eastAsia="zh-CN"/>
        </w:rPr>
        <w:t>项目技术路线采用“契约先行、分层实现、持续验证”的方式推进。首先冻结数据库表结构、字段命名、API 字段和 Mock 字段；随后分别完成 SQL 脚本、后端接口、前端页面、Docker 环境和性能测试；最后通过截图、原始输出、EXPLAIN 计划和压测结果形成报告证据链。</w:t>
      </w:r>
    </w:p>
    <w:p w14:paraId="2B4B6E6D">
      <w:pPr>
        <w:spacing w:after="0"/>
        <w:rPr>
          <w:lang w:eastAsia="zh-CN"/>
        </w:rPr>
      </w:pPr>
      <w:r>
        <w:rPr>
          <w:lang w:eastAsia="zh-CN"/>
        </w:rPr>
        <w:t>数据库层以 sql/ 目录作为唯一 SQL 源资产目录，Docker 初始化脚本只引用该目录下的 SQL 文件，不维护第二套业务 DDL 或 DML。接口层负责将数据库 snake_case 字段映射为 lowerCamelCase 响应字段。前端展示层只读取 API 和 Mock 契约，不直接依赖数据库字段。性能实验层在正式数据规模上记录执行计划、索引状态和并发指标。</w:t>
      </w:r>
    </w:p>
    <w:p w14:paraId="07D8133C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44315" cy="2696210"/>
            <wp:effectExtent l="0" t="0" r="13335" b="8890"/>
            <wp:docPr id="30" name="图片 30" descr="数据库层以 sql/ 目录作为唯一 SQL 源资产目录，Docker 初始化脚本只引用该目录下的 SQL 文件，不维护第二套业务 DDL 或 DML。接口层负责将数据库 snake_case 字段映射为 lowerCamelCase 响应字段。前端展示层只读取 API 和 Mock 契约，不直接依赖数据库字段。性能实验层在正式数据规模上记录执行计划、索引状态和并发指标。" title="数据库层以 sql/ 目录作为唯一 SQL 源资产目录，Docker 初始化脚本只引用该目录下的 SQL 文件，不维护第二套业务 DDL 或 DML。接口层负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hatGPT Image 2026年7月10日 20_22_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ACA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1-1 项目技术路线示意图</w:t>
      </w:r>
    </w:p>
    <w:p w14:paraId="03E71E62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1-2 项目技术路线说明表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6CD7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54855584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阶段</w:t>
            </w:r>
          </w:p>
        </w:tc>
        <w:tc>
          <w:tcPr>
            <w:tcW w:w="3060" w:type="dxa"/>
            <w:vAlign w:val="center"/>
          </w:tcPr>
          <w:p w14:paraId="1A2E8079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输入</w:t>
            </w:r>
          </w:p>
        </w:tc>
        <w:tc>
          <w:tcPr>
            <w:tcW w:w="3060" w:type="dxa"/>
            <w:vAlign w:val="center"/>
          </w:tcPr>
          <w:p w14:paraId="05035B6E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输出</w:t>
            </w:r>
          </w:p>
        </w:tc>
      </w:tr>
      <w:tr w14:paraId="42DCE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A57AB48">
            <w:pPr>
              <w:spacing w:after="0"/>
            </w:pPr>
            <w:r>
              <w:rPr>
                <w:sz w:val="18"/>
              </w:rPr>
              <w:t>需求分析</w:t>
            </w:r>
          </w:p>
        </w:tc>
        <w:tc>
          <w:tcPr>
            <w:tcW w:w="3060" w:type="dxa"/>
            <w:vAlign w:val="center"/>
          </w:tcPr>
          <w:p w14:paraId="3052AF11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课程目标、业务场景、Benchmark 要求</w:t>
            </w:r>
          </w:p>
        </w:tc>
        <w:tc>
          <w:tcPr>
            <w:tcW w:w="3060" w:type="dxa"/>
            <w:vAlign w:val="center"/>
          </w:tcPr>
          <w:p w14:paraId="6F12E4B5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功能需求、非功能需求、角色权限边界和验收指标</w:t>
            </w:r>
          </w:p>
        </w:tc>
      </w:tr>
      <w:tr w14:paraId="448E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F03ECB9">
            <w:pPr>
              <w:spacing w:after="0"/>
            </w:pPr>
            <w:r>
              <w:rPr>
                <w:sz w:val="18"/>
              </w:rPr>
              <w:t>数据库设计</w:t>
            </w:r>
          </w:p>
        </w:tc>
        <w:tc>
          <w:tcPr>
            <w:tcW w:w="3060" w:type="dxa"/>
            <w:vAlign w:val="center"/>
          </w:tcPr>
          <w:p w14:paraId="449D3199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TPC-H/TPC-C 业务语义、导入与审计要求</w:t>
            </w:r>
          </w:p>
        </w:tc>
        <w:tc>
          <w:tcPr>
            <w:tcW w:w="3060" w:type="dxa"/>
            <w:vAlign w:val="center"/>
          </w:tcPr>
          <w:p w14:paraId="5D84A3D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表结构、约束、触发器、存储过程、索引和清洗规则</w:t>
            </w:r>
          </w:p>
        </w:tc>
      </w:tr>
      <w:tr w14:paraId="5DCA8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9BE0726">
            <w:pPr>
              <w:spacing w:after="0"/>
            </w:pPr>
            <w:r>
              <w:rPr>
                <w:sz w:val="18"/>
              </w:rPr>
              <w:t>接口与页面实现</w:t>
            </w:r>
          </w:p>
        </w:tc>
        <w:tc>
          <w:tcPr>
            <w:tcW w:w="3060" w:type="dxa"/>
            <w:vAlign w:val="center"/>
          </w:tcPr>
          <w:p w14:paraId="4A250B7B">
            <w:pPr>
              <w:spacing w:after="0"/>
            </w:pPr>
            <w:r>
              <w:rPr>
                <w:sz w:val="18"/>
              </w:rPr>
              <w:t>API 契约、Mock 契约、SQL 查询模板</w:t>
            </w:r>
          </w:p>
        </w:tc>
        <w:tc>
          <w:tcPr>
            <w:tcW w:w="3060" w:type="dxa"/>
            <w:vAlign w:val="center"/>
          </w:tcPr>
          <w:p w14:paraId="0A363CE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接口服务、事务服务、可视化页面和错误提示</w:t>
            </w:r>
          </w:p>
        </w:tc>
      </w:tr>
      <w:tr w14:paraId="287D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D2BE69C">
            <w:pPr>
              <w:spacing w:after="0"/>
            </w:pPr>
            <w:r>
              <w:rPr>
                <w:sz w:val="18"/>
              </w:rPr>
              <w:t>部署与验证</w:t>
            </w:r>
          </w:p>
        </w:tc>
        <w:tc>
          <w:tcPr>
            <w:tcW w:w="3060" w:type="dxa"/>
            <w:vAlign w:val="center"/>
          </w:tcPr>
          <w:p w14:paraId="583AD46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Docker 环境、样例数据、正式数据和性能脚本</w:t>
            </w:r>
          </w:p>
        </w:tc>
        <w:tc>
          <w:tcPr>
            <w:tcW w:w="3060" w:type="dxa"/>
            <w:vAlign w:val="center"/>
          </w:tcPr>
          <w:p w14:paraId="63F426B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可复现数据库、截图、执行日志、EXPLAIN 输出和压测结果</w:t>
            </w:r>
          </w:p>
        </w:tc>
      </w:tr>
      <w:tr w14:paraId="0E73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0584E65">
            <w:pPr>
              <w:spacing w:after="0"/>
            </w:pPr>
            <w:r>
              <w:rPr>
                <w:sz w:val="18"/>
              </w:rPr>
              <w:t>报告整合</w:t>
            </w:r>
          </w:p>
        </w:tc>
        <w:tc>
          <w:tcPr>
            <w:tcW w:w="3060" w:type="dxa"/>
            <w:vAlign w:val="center"/>
          </w:tcPr>
          <w:p w14:paraId="06C47A5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设计文档、验证输出、测试结果和系统截图</w:t>
            </w:r>
          </w:p>
        </w:tc>
        <w:tc>
          <w:tcPr>
            <w:tcW w:w="3060" w:type="dxa"/>
            <w:vAlign w:val="center"/>
          </w:tcPr>
          <w:p w14:paraId="3A95588E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课程设计报告、答辩材料和附录证据</w:t>
            </w:r>
          </w:p>
        </w:tc>
      </w:tr>
    </w:tbl>
    <w:p w14:paraId="726C47B4">
      <w:pPr>
        <w:spacing w:before="60" w:after="120"/>
        <w:jc w:val="center"/>
      </w:pPr>
      <w:r>
        <w:rPr>
          <w:sz w:val="21"/>
        </w:rPr>
        <w:t>表 1-3 课程设计边界说明表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130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3F07C112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边界项</w:t>
            </w:r>
          </w:p>
        </w:tc>
        <w:tc>
          <w:tcPr>
            <w:tcW w:w="3060" w:type="dxa"/>
            <w:vAlign w:val="center"/>
          </w:tcPr>
          <w:p w14:paraId="2786B2F9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本系统重点</w:t>
            </w:r>
          </w:p>
        </w:tc>
        <w:tc>
          <w:tcPr>
            <w:tcW w:w="3060" w:type="dxa"/>
            <w:vAlign w:val="center"/>
          </w:tcPr>
          <w:p w14:paraId="758CAF5A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不作为重点的内容</w:t>
            </w:r>
          </w:p>
        </w:tc>
      </w:tr>
      <w:tr w14:paraId="4AA9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D3D6C87">
            <w:pPr>
              <w:spacing w:after="0"/>
            </w:pPr>
            <w:r>
              <w:rPr>
                <w:sz w:val="18"/>
              </w:rPr>
              <w:t>业务范围</w:t>
            </w:r>
          </w:p>
        </w:tc>
        <w:tc>
          <w:tcPr>
            <w:tcW w:w="3060" w:type="dxa"/>
            <w:vAlign w:val="center"/>
          </w:tcPr>
          <w:p w14:paraId="58792CFD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电商数据管理、TPC-H 分析、TPC-C 事务、导入清洗和性能分析</w:t>
            </w:r>
          </w:p>
        </w:tc>
        <w:tc>
          <w:tcPr>
            <w:tcW w:w="3060" w:type="dxa"/>
            <w:vAlign w:val="center"/>
          </w:tcPr>
          <w:p w14:paraId="3BBFDDB9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完整商用电商平台、营销推荐、真实在线支付和物流系统</w:t>
            </w:r>
          </w:p>
        </w:tc>
      </w:tr>
      <w:tr w14:paraId="32FA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E384EE3">
            <w:pPr>
              <w:spacing w:after="0"/>
            </w:pPr>
            <w:r>
              <w:rPr>
                <w:sz w:val="18"/>
              </w:rPr>
              <w:t>数据库范围</w:t>
            </w:r>
          </w:p>
        </w:tc>
        <w:tc>
          <w:tcPr>
            <w:tcW w:w="3060" w:type="dxa"/>
            <w:vAlign w:val="center"/>
          </w:tcPr>
          <w:p w14:paraId="01374B76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关系表设计、完整性约束、事务一致性、触发器、存储过程、索引和执行计划</w:t>
            </w:r>
          </w:p>
        </w:tc>
        <w:tc>
          <w:tcPr>
            <w:tcW w:w="3060" w:type="dxa"/>
            <w:vAlign w:val="center"/>
          </w:tcPr>
          <w:p w14:paraId="41569E0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分布式数据库集群、高可用容灾和复杂数据仓库调度</w:t>
            </w:r>
          </w:p>
        </w:tc>
      </w:tr>
      <w:tr w14:paraId="01E4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C850B3E">
            <w:pPr>
              <w:spacing w:after="0"/>
            </w:pPr>
            <w:r>
              <w:rPr>
                <w:sz w:val="18"/>
              </w:rPr>
              <w:t>性能范围</w:t>
            </w:r>
          </w:p>
        </w:tc>
        <w:tc>
          <w:tcPr>
            <w:tcW w:w="3060" w:type="dxa"/>
            <w:vAlign w:val="center"/>
          </w:tcPr>
          <w:p w14:paraId="570D259C">
            <w:pPr>
              <w:spacing w:after="0"/>
            </w:pPr>
            <w:r>
              <w:rPr>
                <w:sz w:val="18"/>
              </w:rPr>
              <w:t>正式数据导入、EXPLAIN ANALYZE、索引前后对比、并发延迟和吞吐量</w:t>
            </w:r>
          </w:p>
        </w:tc>
        <w:tc>
          <w:tcPr>
            <w:tcW w:w="3060" w:type="dxa"/>
            <w:vAlign w:val="center"/>
          </w:tcPr>
          <w:p w14:paraId="2E68B494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跨机器压力测试、云资源自动伸缩和生产级容量规划</w:t>
            </w:r>
          </w:p>
        </w:tc>
      </w:tr>
    </w:tbl>
    <w:p w14:paraId="31A7FA80">
      <w:pPr>
        <w:pStyle w:val="3"/>
        <w:spacing w:before="240" w:after="240"/>
        <w:jc w:val="center"/>
        <w:rPr>
          <w:lang w:eastAsia="zh-CN"/>
        </w:rPr>
      </w:pPr>
      <w:bookmarkStart w:id="7" w:name="__RefHeading___Toc5781_2153205702"/>
      <w:bookmarkEnd w:id="7"/>
      <w:r>
        <w:rPr>
          <w:rFonts w:ascii="Times New Roman" w:hAnsi="Times New Roman" w:eastAsia="黑体"/>
          <w:lang w:eastAsia="zh-CN"/>
        </w:rPr>
        <w:t>第 2 章 系统需求分析</w:t>
      </w:r>
    </w:p>
    <w:p w14:paraId="1441D5B3">
      <w:pPr>
        <w:pStyle w:val="4"/>
        <w:spacing w:before="200"/>
        <w:rPr>
          <w:lang w:eastAsia="zh-CN"/>
        </w:rPr>
      </w:pPr>
      <w:bookmarkStart w:id="8" w:name="__RefHeading___Toc5783_2153205702"/>
      <w:bookmarkEnd w:id="8"/>
      <w:r>
        <w:rPr>
          <w:rFonts w:ascii="Times New Roman" w:hAnsi="Times New Roman" w:eastAsia="黑体"/>
          <w:lang w:eastAsia="zh-CN"/>
        </w:rPr>
        <w:t>2.1 系统总体需求</w:t>
      </w:r>
    </w:p>
    <w:p w14:paraId="3CAFEC4D">
      <w:pPr>
        <w:spacing w:after="0"/>
        <w:rPr>
          <w:lang w:eastAsia="zh-CN"/>
        </w:rPr>
      </w:pPr>
      <w:r>
        <w:rPr>
          <w:lang w:eastAsia="zh-CN"/>
        </w:rPr>
        <w:t>系统需求围绕“可管理、可查询、可事务、可分析、可验证”五个关键词展开。可管理要求系统支持用户、权限、数据导入、错误日志和导出；可查询要求系统能够对客户、订单、供应商和零部件等业务数据进行条件检索；可事务要求系统能够完成 New-Order 和 Payment 的提交、回滚和日志记录；可分析要求系统能够执行 TPC-H 典型查询并以表格和图表展示；可验证要求系统能够提供执行计划、索引对比和性能测试证据。</w:t>
      </w:r>
    </w:p>
    <w:p w14:paraId="44090942">
      <w:pPr>
        <w:spacing w:after="0"/>
        <w:rPr>
          <w:lang w:eastAsia="zh-CN"/>
        </w:rPr>
      </w:pPr>
      <w:r>
        <w:rPr>
          <w:lang w:eastAsia="zh-CN"/>
        </w:rPr>
        <w:t>从数据库角度看，系统需要同时管理三类数据。第一类是 TPC-H 分析数据，用于复杂查询和性能分析；第二类是 TPC-C 事务数据，用于订单和支付事务演示；第三类是应用辅助数据，用于用户权限、导入任务、错误日志、查询日志、事务日志、性能结果和库存变化审计。三类数据既相互独立又在系统功能层面共同支撑课程验收。</w:t>
      </w:r>
    </w:p>
    <w:p w14:paraId="29B5072A">
      <w:pPr>
        <w:jc w:val="center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3963035" cy="3171825"/>
            <wp:effectExtent l="0" t="0" r="18415" b="9525"/>
            <wp:docPr id="31" name="图片 31" descr="从数据库角度看，系统需要同时管理三类数据。第一类是 TPC-H 分析数据，用于复杂查询和性能分析；第二类是 TPC-C 事务数据，用于订单和支付事务演示；第三类是应用辅助数据，用于用户权限、导入任务、错误日志、查询日志、事务日志、性能结果和库存变化审计。三类数据既相互独立又在系统功能层面共同支撑课程验收。" title="从数据库角度看，系统需要同时管理三类数据。第一类是 TPC-H 分析数据，用于复杂查询和性能分析；第二类是 TPC-C 事务数据，用于订单和支付事务演示；第三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hatGPT Image 2026年7月10日 20_24_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9619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2-1 系统需求分解示意图</w:t>
      </w:r>
      <w:bookmarkStart w:id="132" w:name="_GoBack"/>
      <w:bookmarkEnd w:id="132"/>
    </w:p>
    <w:p w14:paraId="62EB0DA1">
      <w:pPr>
        <w:pStyle w:val="4"/>
        <w:spacing w:before="200"/>
        <w:rPr>
          <w:lang w:eastAsia="zh-CN"/>
        </w:rPr>
      </w:pPr>
      <w:bookmarkStart w:id="9" w:name="__RefHeading___Toc5785_2153205702"/>
      <w:bookmarkEnd w:id="9"/>
      <w:r>
        <w:rPr>
          <w:rFonts w:ascii="Times New Roman" w:hAnsi="Times New Roman" w:eastAsia="黑体"/>
          <w:lang w:eastAsia="zh-CN"/>
        </w:rPr>
        <w:t>2.2 用户角色需求</w:t>
      </w:r>
    </w:p>
    <w:p w14:paraId="6E76BD71">
      <w:pPr>
        <w:spacing w:after="0"/>
        <w:rPr>
          <w:lang w:eastAsia="zh-CN"/>
        </w:rPr>
      </w:pPr>
      <w:r>
        <w:rPr>
          <w:lang w:eastAsia="zh-CN"/>
        </w:rPr>
        <w:t>系统面向三类使用者：系统管理使用者、普通业务使用者和性能实验执行者。系统管理使用者负责用户审批、禁用、数据导入导出、导入错误查看、性能结果维护和系统运行验证；普通业务使用者主要执行数据浏览、业务查询、TPC-H 分析查询、TPC-C 事务演示和结果查看；性能实验执行者负责准备正式数据规模、运行 EXPLAIN、执行并发测试并保存原始结果。</w:t>
      </w:r>
    </w:p>
    <w:p w14:paraId="5C4E7DBA">
      <w:pPr>
        <w:spacing w:after="0"/>
        <w:rPr>
          <w:lang w:eastAsia="zh-CN"/>
        </w:rPr>
      </w:pPr>
      <w:r>
        <w:rPr>
          <w:lang w:eastAsia="zh-CN"/>
        </w:rPr>
        <w:t>权限设计应满足最小授权原则。普通业务使用者不应直接执行数据库维护操作，不应修改约束、索引或正式导入数据；系统管理使用者可以通过接口触发导入、查看错误日志和管理用户状态，但仍不直接维护底层 SQL 源资产；性能实验执行者应在明确数据规模和索引状态下开展实验，保证性能结论可复现、可解释。</w:t>
      </w:r>
    </w:p>
    <w:p w14:paraId="4A3A3524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2-1 用户角色与权限需求表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054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3615877C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角色类型</w:t>
            </w:r>
          </w:p>
        </w:tc>
        <w:tc>
          <w:tcPr>
            <w:tcW w:w="3060" w:type="dxa"/>
            <w:vAlign w:val="center"/>
          </w:tcPr>
          <w:p w14:paraId="72FB7EFA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主要权限</w:t>
            </w:r>
          </w:p>
        </w:tc>
        <w:tc>
          <w:tcPr>
            <w:tcW w:w="3060" w:type="dxa"/>
            <w:vAlign w:val="center"/>
          </w:tcPr>
          <w:p w14:paraId="35434258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限制说明</w:t>
            </w:r>
          </w:p>
        </w:tc>
      </w:tr>
      <w:tr w14:paraId="0BAA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6B40291">
            <w:pPr>
              <w:spacing w:after="0"/>
            </w:pPr>
            <w:r>
              <w:rPr>
                <w:sz w:val="18"/>
              </w:rPr>
              <w:t>系统管理使用者</w:t>
            </w:r>
          </w:p>
        </w:tc>
        <w:tc>
          <w:tcPr>
            <w:tcW w:w="3060" w:type="dxa"/>
            <w:vAlign w:val="center"/>
          </w:tcPr>
          <w:p w14:paraId="42D32F0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用户审批、用户禁用、数据导入导出、错误日志查看、性能结果查看</w:t>
            </w:r>
          </w:p>
        </w:tc>
        <w:tc>
          <w:tcPr>
            <w:tcW w:w="3060" w:type="dxa"/>
            <w:vAlign w:val="center"/>
          </w:tcPr>
          <w:p w14:paraId="3AC0A5F1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不能绕过系统直接修改 SQL 源资产或手工破坏正式数据</w:t>
            </w:r>
          </w:p>
        </w:tc>
      </w:tr>
      <w:tr w14:paraId="6EC9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73D4F04">
            <w:pPr>
              <w:spacing w:after="0"/>
            </w:pPr>
            <w:r>
              <w:rPr>
                <w:sz w:val="18"/>
              </w:rPr>
              <w:t>普通业务使用者</w:t>
            </w:r>
          </w:p>
        </w:tc>
        <w:tc>
          <w:tcPr>
            <w:tcW w:w="3060" w:type="dxa"/>
            <w:vAlign w:val="center"/>
          </w:tcPr>
          <w:p w14:paraId="460D2D7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登录系统、查看数据、执行业务查询、查看统计图表、发起事务演示</w:t>
            </w:r>
          </w:p>
        </w:tc>
        <w:tc>
          <w:tcPr>
            <w:tcW w:w="3060" w:type="dxa"/>
            <w:vAlign w:val="center"/>
          </w:tcPr>
          <w:p w14:paraId="0296D08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不能管理用户，不能执行正式数据导入和环境维护</w:t>
            </w:r>
          </w:p>
        </w:tc>
      </w:tr>
      <w:tr w14:paraId="2FAF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4AC8A688">
            <w:pPr>
              <w:spacing w:after="0"/>
            </w:pPr>
            <w:r>
              <w:rPr>
                <w:sz w:val="18"/>
              </w:rPr>
              <w:t>性能实验执行者</w:t>
            </w:r>
          </w:p>
        </w:tc>
        <w:tc>
          <w:tcPr>
            <w:tcW w:w="3060" w:type="dxa"/>
            <w:vAlign w:val="center"/>
          </w:tcPr>
          <w:p w14:paraId="0EA9996F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准备正式数据、执行 EXPLAIN、运行并发测试、保存测试结果</w:t>
            </w:r>
          </w:p>
        </w:tc>
        <w:tc>
          <w:tcPr>
            <w:tcW w:w="3060" w:type="dxa"/>
            <w:vAlign w:val="center"/>
          </w:tcPr>
          <w:p w14:paraId="1B6FEBA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正式实验需在干净数据库、明确数据规模和明确索引状态下进行</w:t>
            </w:r>
          </w:p>
        </w:tc>
      </w:tr>
      <w:tr w14:paraId="3524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E06CDA0">
            <w:pPr>
              <w:spacing w:after="0"/>
            </w:pPr>
            <w:r>
              <w:rPr>
                <w:sz w:val="18"/>
              </w:rPr>
              <w:t>未审批使用者</w:t>
            </w:r>
          </w:p>
        </w:tc>
        <w:tc>
          <w:tcPr>
            <w:tcW w:w="3060" w:type="dxa"/>
            <w:vAlign w:val="center"/>
          </w:tcPr>
          <w:p w14:paraId="160B6BD6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注册账号、等待审批、查看基本提示</w:t>
            </w:r>
          </w:p>
        </w:tc>
        <w:tc>
          <w:tcPr>
            <w:tcW w:w="3060" w:type="dxa"/>
            <w:vAlign w:val="center"/>
          </w:tcPr>
          <w:p w14:paraId="4F34BC3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不能访问业务数据、事务功能和性能结果</w:t>
            </w:r>
          </w:p>
        </w:tc>
      </w:tr>
    </w:tbl>
    <w:p w14:paraId="593331DB">
      <w:pPr>
        <w:jc w:val="center"/>
      </w:pPr>
      <w:r>
        <w:drawing>
          <wp:inline distT="0" distB="0" distL="0" distR="0">
            <wp:extent cx="5349240" cy="3026410"/>
            <wp:effectExtent l="0" t="0" r="0" b="0"/>
            <wp:docPr id="3" name="Picture 21" descr="表 2-1 用户角色与权限需求表" title="表 2-1 用户角色与权限需求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0C7195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2-2 用户角色与权限用例图</w:t>
      </w:r>
    </w:p>
    <w:p w14:paraId="246E1E7F">
      <w:pPr>
        <w:pStyle w:val="4"/>
        <w:spacing w:before="200"/>
        <w:rPr>
          <w:lang w:eastAsia="zh-CN"/>
        </w:rPr>
      </w:pPr>
      <w:bookmarkStart w:id="10" w:name="__RefHeading___Toc5787_2153205702"/>
      <w:bookmarkEnd w:id="10"/>
      <w:r>
        <w:rPr>
          <w:rFonts w:ascii="Times New Roman" w:hAnsi="Times New Roman" w:eastAsia="黑体"/>
          <w:lang w:eastAsia="zh-CN"/>
        </w:rPr>
        <w:t>2.3 系统界面需求</w:t>
      </w:r>
    </w:p>
    <w:p w14:paraId="2F94BEE9">
      <w:pPr>
        <w:spacing w:after="0"/>
        <w:rPr>
          <w:lang w:eastAsia="zh-CN"/>
        </w:rPr>
      </w:pPr>
      <w:r>
        <w:rPr>
          <w:lang w:eastAsia="zh-CN"/>
        </w:rPr>
        <w:t>系统界面应覆盖登录注册、系统总览、用户管理、数据导入导出、业务查询、TPC-H 分析、TPC-C 事务和性能结果展示等页面。页面布局应保证操作路径清晰、查询参数易理解、表格字段可扫描、图表表达与业务指标一致。对于复杂查询和事务操作，页面应提供必要的参数说明、默认值和异常提示，避免用户因输入格式错误导致无法理解系统行为。</w:t>
      </w:r>
    </w:p>
    <w:p w14:paraId="786CC323">
      <w:pPr>
        <w:spacing w:after="0"/>
        <w:rPr>
          <w:lang w:eastAsia="zh-CN"/>
        </w:rPr>
      </w:pPr>
      <w:r>
        <w:rPr>
          <w:lang w:eastAsia="zh-CN"/>
        </w:rPr>
        <w:t>系统总览页面应展示数据库规模、样例数据状态、导入任务状态、查询日志、事务日志和性能概览。数据管理页面应支持文件上传、行级校验、错误日志展示和导出。统计分析页面应支持 Q1、Q5、Q12、Q14 查询参数输入、表格结果和图表结果展示。事务页面应支持 New-Order 与 Payment 的提交、异常回滚和事务结果查看。性能页面应展示查询耗时、索引状态、平均延迟、吞吐量、成功率等指标。</w:t>
      </w:r>
    </w:p>
    <w:p w14:paraId="7F871564">
      <w:pPr>
        <w:pStyle w:val="4"/>
        <w:spacing w:before="200"/>
        <w:rPr>
          <w:lang w:eastAsia="zh-CN"/>
        </w:rPr>
      </w:pPr>
      <w:bookmarkStart w:id="11" w:name="__RefHeading___Toc5789_2153205702"/>
      <w:bookmarkEnd w:id="11"/>
      <w:r>
        <w:rPr>
          <w:rFonts w:ascii="Times New Roman" w:hAnsi="Times New Roman" w:eastAsia="黑体"/>
          <w:lang w:eastAsia="zh-CN"/>
        </w:rPr>
        <w:t>2.4 数据管理需求</w:t>
      </w:r>
    </w:p>
    <w:p w14:paraId="7C4C8AF2">
      <w:pPr>
        <w:spacing w:after="0"/>
        <w:rPr>
          <w:lang w:eastAsia="zh-CN"/>
        </w:rPr>
      </w:pPr>
      <w:r>
        <w:rPr>
          <w:lang w:eastAsia="zh-CN"/>
        </w:rPr>
        <w:t>数据管理需求包括基础表结构维护、样例数据加载、系统演示导入、正式数据导入和导入错误追踪。系统演示导入强调页面和接口可用性，要求每行独立校验，一行失败不影响其他行；正式数据导入强调大规模 TPC-H 数据的 COPY 效率和行数一致性，不应混用页面演示导入流程。</w:t>
      </w:r>
    </w:p>
    <w:p w14:paraId="1F7B5C3A">
      <w:pPr>
        <w:spacing w:after="0"/>
        <w:rPr>
          <w:lang w:eastAsia="zh-CN"/>
        </w:rPr>
      </w:pPr>
      <w:r>
        <w:rPr>
          <w:lang w:eastAsia="zh-CN"/>
        </w:rPr>
        <w:t>导入任务需要记录任务编号、表名、文件名、任务状态、总行数、成功行数、失败行数、开始时间、结束时间和操作人。错误日志需要记录错误行号、字段名、字段原始值和错误原因。数据库约束要求 success_rows 与 failed_rows 之和不能超过 total_rows，以避免导入统计失真。</w:t>
      </w:r>
    </w:p>
    <w:p w14:paraId="5A8DEFB7">
      <w:pPr>
        <w:pStyle w:val="4"/>
        <w:spacing w:before="200"/>
        <w:rPr>
          <w:lang w:eastAsia="zh-CN"/>
        </w:rPr>
      </w:pPr>
      <w:bookmarkStart w:id="12" w:name="__RefHeading___Toc5791_2153205702"/>
      <w:bookmarkEnd w:id="12"/>
      <w:r>
        <w:rPr>
          <w:rFonts w:ascii="Times New Roman" w:hAnsi="Times New Roman" w:eastAsia="黑体"/>
          <w:lang w:eastAsia="zh-CN"/>
        </w:rPr>
        <w:t>2.5 业务查询需求</w:t>
      </w:r>
    </w:p>
    <w:p w14:paraId="123226BC">
      <w:pPr>
        <w:spacing w:after="0"/>
        <w:rPr>
          <w:lang w:eastAsia="zh-CN"/>
        </w:rPr>
      </w:pPr>
      <w:r>
        <w:rPr>
          <w:lang w:eastAsia="zh-CN"/>
        </w:rPr>
        <w:t>业务查询需求面向电商数据的日常检索与展示，主要包括客户信息查询、订单收入查询、供应商与零部件关联查询等。查询接口需要支持分页、筛选和排序，返回字段必须符合 API 契约，便于前端表格和图表直接使用。业务查询结果还需要写入查询日志，记录查询名称、查询参数、耗时、返回行数和执行用户，为系统演示和后续性能分析提供依据。</w:t>
      </w:r>
    </w:p>
    <w:p w14:paraId="2904B950">
      <w:pPr>
        <w:pStyle w:val="4"/>
        <w:spacing w:before="200"/>
        <w:rPr>
          <w:lang w:eastAsia="zh-CN"/>
        </w:rPr>
      </w:pPr>
      <w:bookmarkStart w:id="13" w:name="__RefHeading___Toc5793_2153205702"/>
      <w:bookmarkEnd w:id="13"/>
      <w:r>
        <w:rPr>
          <w:rFonts w:ascii="Times New Roman" w:hAnsi="Times New Roman" w:eastAsia="黑体"/>
          <w:lang w:eastAsia="zh-CN"/>
        </w:rPr>
        <w:t>2.6 业务处理需求</w:t>
      </w:r>
    </w:p>
    <w:p w14:paraId="354602B0">
      <w:pPr>
        <w:spacing w:after="0"/>
        <w:rPr>
          <w:lang w:eastAsia="zh-CN"/>
        </w:rPr>
      </w:pPr>
      <w:r>
        <w:rPr>
          <w:lang w:eastAsia="zh-CN"/>
        </w:rPr>
        <w:t>业务处理需求主要围绕 TPC-C New-Order 和 Payment 两类事务展开。New-Order 需要校验仓库、地区、客户、商品和库存，原子递增订单号，写入订单头、未交付订单、订单明细，扣减库存并记录库存变化。Payment 需要校验仓库、地区和客户，更新仓库与地区累计收款，更新客户余额与支付次数，并写入支付历史。</w:t>
      </w:r>
    </w:p>
    <w:p w14:paraId="59E1DE7F">
      <w:pPr>
        <w:spacing w:after="0"/>
        <w:rPr>
          <w:lang w:eastAsia="zh-CN"/>
        </w:rPr>
      </w:pPr>
      <w:r>
        <w:rPr>
          <w:lang w:eastAsia="zh-CN"/>
        </w:rPr>
        <w:t>任何关键步骤失败，如客户不存在、商品不存在、库存不足、付款金额非法、约束异常或写入失败，都应触发回滚，避免产生半完成订单或错误支付状态。事务结果必须写入 transaction_log，库存变化必须写入 stock_change_log，使事务行为具备可追踪证据。</w:t>
      </w:r>
    </w:p>
    <w:p w14:paraId="49218FB1">
      <w:pPr>
        <w:pStyle w:val="4"/>
        <w:spacing w:before="200"/>
        <w:rPr>
          <w:lang w:eastAsia="zh-CN"/>
        </w:rPr>
      </w:pPr>
      <w:bookmarkStart w:id="14" w:name="__RefHeading___Toc5795_2153205702"/>
      <w:bookmarkEnd w:id="14"/>
      <w:r>
        <w:rPr>
          <w:rFonts w:ascii="Times New Roman" w:hAnsi="Times New Roman" w:eastAsia="黑体"/>
          <w:lang w:eastAsia="zh-CN"/>
        </w:rPr>
        <w:t>2.7 统计分析需求</w:t>
      </w:r>
    </w:p>
    <w:p w14:paraId="2792662C">
      <w:pPr>
        <w:spacing w:after="0"/>
        <w:rPr>
          <w:lang w:eastAsia="zh-CN"/>
        </w:rPr>
      </w:pPr>
      <w:r>
        <w:rPr>
          <w:lang w:eastAsia="zh-CN"/>
        </w:rPr>
        <w:t>统计分析需求基于 TPC-H 典型查询实现。Q1 用于定价汇总分析，Q5 用于地区供应商收入分析，Q12 用于运输方式与订单优先级分析，Q14 用于促销效果分析。统计分析结果需要同时支持表格展示和图表展示，例如 Q5 适合国家收入柱状图，Q12 适合按运输方式分组的堆叠柱状图，Q14 适合指标卡或占比图。</w:t>
      </w:r>
    </w:p>
    <w:p w14:paraId="36667CE7">
      <w:pPr>
        <w:pStyle w:val="4"/>
        <w:spacing w:before="200"/>
        <w:rPr>
          <w:lang w:eastAsia="zh-CN"/>
        </w:rPr>
      </w:pPr>
      <w:bookmarkStart w:id="15" w:name="__RefHeading___Toc5797_2153205702"/>
      <w:bookmarkEnd w:id="15"/>
      <w:r>
        <w:rPr>
          <w:rFonts w:ascii="Times New Roman" w:hAnsi="Times New Roman" w:eastAsia="黑体"/>
          <w:lang w:eastAsia="zh-CN"/>
        </w:rPr>
        <w:t>2.8 性能分析需求</w:t>
      </w:r>
    </w:p>
    <w:p w14:paraId="14D2785F">
      <w:pPr>
        <w:spacing w:after="0"/>
        <w:rPr>
          <w:lang w:eastAsia="zh-CN"/>
        </w:rPr>
      </w:pPr>
      <w:r>
        <w:rPr>
          <w:lang w:eastAsia="zh-CN"/>
        </w:rPr>
        <w:t>性能分析需求包括查询耗时统计、EXPLAIN ANALYZE 执行计划采集、索引前后对比、并发请求测试、平均延迟、最大延迟、最小延迟、吞吐量、成功数、失败数和成功率等指标。性能数据必须标明数据规模、索引状态和测试参数，否则不能作为有效结论。样例数据上的执行计划只能证明 SQL 可执行，不代表正式性能结论。</w:t>
      </w:r>
    </w:p>
    <w:p w14:paraId="69608ECE">
      <w:pPr>
        <w:pStyle w:val="4"/>
        <w:spacing w:before="200"/>
        <w:rPr>
          <w:lang w:eastAsia="zh-CN"/>
        </w:rPr>
      </w:pPr>
      <w:bookmarkStart w:id="16" w:name="__RefHeading___Toc5799_2153205702"/>
      <w:bookmarkEnd w:id="16"/>
      <w:r>
        <w:rPr>
          <w:rFonts w:ascii="Times New Roman" w:hAnsi="Times New Roman" w:eastAsia="黑体"/>
          <w:lang w:eastAsia="zh-CN"/>
        </w:rPr>
        <w:t>2.9 非功能需求</w:t>
      </w:r>
    </w:p>
    <w:p w14:paraId="38535AD0">
      <w:pPr>
        <w:spacing w:after="0"/>
        <w:rPr>
          <w:lang w:eastAsia="zh-CN"/>
        </w:rPr>
      </w:pPr>
      <w:r>
        <w:rPr>
          <w:lang w:eastAsia="zh-CN"/>
        </w:rPr>
        <w:t>系统非功能需求包括可维护性、可扩展性、一致性、安全性、可复现性和可追踪性。可维护性要求 SQL、文档、接口契约和 Mock 契约集中管理；一致性要求数据库字段、接口字段和前端字段之间有明确映射；安全性要求用户权限和密码摘要不以明文保存；可复现性要求 Docker 环境和 SQL 初始化顺序明确；可追踪性要求导入、查询、事务和库存变化均有日志记录。</w:t>
      </w:r>
    </w:p>
    <w:p w14:paraId="70CFBF91">
      <w:pPr>
        <w:spacing w:before="60" w:after="120"/>
        <w:jc w:val="center"/>
      </w:pPr>
      <w:r>
        <w:rPr>
          <w:sz w:val="21"/>
        </w:rPr>
        <w:t>表 2-2 系统功能需求汇总表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5D8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6CF50DFE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功能模块</w:t>
            </w:r>
          </w:p>
        </w:tc>
        <w:tc>
          <w:tcPr>
            <w:tcW w:w="3060" w:type="dxa"/>
            <w:vAlign w:val="center"/>
          </w:tcPr>
          <w:p w14:paraId="1026ADE8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核心功能</w:t>
            </w:r>
          </w:p>
        </w:tc>
        <w:tc>
          <w:tcPr>
            <w:tcW w:w="3060" w:type="dxa"/>
            <w:vAlign w:val="center"/>
          </w:tcPr>
          <w:p w14:paraId="36EA4EA9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主要输出</w:t>
            </w:r>
          </w:p>
        </w:tc>
      </w:tr>
      <w:tr w14:paraId="0243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C779A41">
            <w:pPr>
              <w:spacing w:after="0"/>
            </w:pPr>
            <w:r>
              <w:rPr>
                <w:sz w:val="18"/>
              </w:rPr>
              <w:t>用户与权限</w:t>
            </w:r>
          </w:p>
        </w:tc>
        <w:tc>
          <w:tcPr>
            <w:tcW w:w="3060" w:type="dxa"/>
            <w:vAlign w:val="center"/>
          </w:tcPr>
          <w:p w14:paraId="436599B6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注册、登录、审批、禁用、角色控制</w:t>
            </w:r>
          </w:p>
        </w:tc>
        <w:tc>
          <w:tcPr>
            <w:tcW w:w="3060" w:type="dxa"/>
            <w:vAlign w:val="center"/>
          </w:tcPr>
          <w:p w14:paraId="2BC6BCC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用户状态、权限结果、登录令牌和错误提示</w:t>
            </w:r>
          </w:p>
        </w:tc>
      </w:tr>
      <w:tr w14:paraId="71B8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0D786DF">
            <w:pPr>
              <w:spacing w:after="0"/>
            </w:pPr>
            <w:r>
              <w:rPr>
                <w:sz w:val="18"/>
              </w:rPr>
              <w:t>数据管理</w:t>
            </w:r>
          </w:p>
        </w:tc>
        <w:tc>
          <w:tcPr>
            <w:tcW w:w="3060" w:type="dxa"/>
            <w:vAlign w:val="center"/>
          </w:tcPr>
          <w:p w14:paraId="675DC179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导入、清洗、错误日志、导出</w:t>
            </w:r>
          </w:p>
        </w:tc>
        <w:tc>
          <w:tcPr>
            <w:tcW w:w="3060" w:type="dxa"/>
            <w:vAlign w:val="center"/>
          </w:tcPr>
          <w:p w14:paraId="12D43318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导入任务、错误明细、导出文件和行数统计</w:t>
            </w:r>
          </w:p>
        </w:tc>
      </w:tr>
      <w:tr w14:paraId="0B2B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5ACD13DC">
            <w:pPr>
              <w:spacing w:after="0"/>
            </w:pPr>
            <w:r>
              <w:rPr>
                <w:sz w:val="18"/>
              </w:rPr>
              <w:t>业务查询</w:t>
            </w:r>
          </w:p>
        </w:tc>
        <w:tc>
          <w:tcPr>
            <w:tcW w:w="3060" w:type="dxa"/>
            <w:vAlign w:val="center"/>
          </w:tcPr>
          <w:p w14:paraId="087FCCB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客户、订单、供应商、零部件等业务查询</w:t>
            </w:r>
          </w:p>
        </w:tc>
        <w:tc>
          <w:tcPr>
            <w:tcW w:w="3060" w:type="dxa"/>
            <w:vAlign w:val="center"/>
          </w:tcPr>
          <w:p w14:paraId="29DC801D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分页表格、查询日志、图表数据</w:t>
            </w:r>
          </w:p>
        </w:tc>
      </w:tr>
      <w:tr w14:paraId="0B49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3088559">
            <w:pPr>
              <w:spacing w:after="0"/>
            </w:pPr>
            <w:r>
              <w:rPr>
                <w:sz w:val="18"/>
              </w:rPr>
              <w:t>TPC-H 分析</w:t>
            </w:r>
          </w:p>
        </w:tc>
        <w:tc>
          <w:tcPr>
            <w:tcW w:w="3060" w:type="dxa"/>
            <w:vAlign w:val="center"/>
          </w:tcPr>
          <w:p w14:paraId="18F0630D">
            <w:pPr>
              <w:spacing w:after="0"/>
            </w:pPr>
            <w:r>
              <w:rPr>
                <w:sz w:val="18"/>
              </w:rPr>
              <w:t>Q1、Q5、Q12、Q14 查询</w:t>
            </w:r>
          </w:p>
        </w:tc>
        <w:tc>
          <w:tcPr>
            <w:tcW w:w="3060" w:type="dxa"/>
            <w:vAlign w:val="center"/>
          </w:tcPr>
          <w:p w14:paraId="5914BAA5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统计表格、图表、执行耗时和查询日志</w:t>
            </w:r>
          </w:p>
        </w:tc>
      </w:tr>
      <w:tr w14:paraId="6989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1382FF3">
            <w:pPr>
              <w:spacing w:after="0"/>
            </w:pPr>
            <w:r>
              <w:rPr>
                <w:sz w:val="18"/>
              </w:rPr>
              <w:t>TPC-C 事务</w:t>
            </w:r>
          </w:p>
        </w:tc>
        <w:tc>
          <w:tcPr>
            <w:tcW w:w="3060" w:type="dxa"/>
            <w:vAlign w:val="center"/>
          </w:tcPr>
          <w:p w14:paraId="33944549">
            <w:pPr>
              <w:spacing w:after="0"/>
            </w:pPr>
            <w:r>
              <w:rPr>
                <w:sz w:val="18"/>
              </w:rPr>
              <w:t>New-Order、Payment、提交与回滚</w:t>
            </w:r>
          </w:p>
        </w:tc>
        <w:tc>
          <w:tcPr>
            <w:tcW w:w="3060" w:type="dxa"/>
            <w:vAlign w:val="center"/>
          </w:tcPr>
          <w:p w14:paraId="5A32CA59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事务编号、订单号、余额、库存日志和事务状态</w:t>
            </w:r>
          </w:p>
        </w:tc>
      </w:tr>
      <w:tr w14:paraId="7963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0E9CEED">
            <w:pPr>
              <w:spacing w:after="0"/>
            </w:pPr>
            <w:r>
              <w:rPr>
                <w:sz w:val="18"/>
              </w:rPr>
              <w:t>性能分析</w:t>
            </w:r>
          </w:p>
        </w:tc>
        <w:tc>
          <w:tcPr>
            <w:tcW w:w="3060" w:type="dxa"/>
            <w:vAlign w:val="center"/>
          </w:tcPr>
          <w:p w14:paraId="04B4465F">
            <w:pPr>
              <w:spacing w:after="0"/>
            </w:pPr>
            <w:r>
              <w:rPr>
                <w:sz w:val="18"/>
              </w:rPr>
              <w:t>EXPLAIN、索引对比、并发测试结果</w:t>
            </w:r>
          </w:p>
        </w:tc>
        <w:tc>
          <w:tcPr>
            <w:tcW w:w="3060" w:type="dxa"/>
            <w:vAlign w:val="center"/>
          </w:tcPr>
          <w:p w14:paraId="12FC700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执行计划、延迟、吞吐量、成功率和性能图表</w:t>
            </w:r>
          </w:p>
        </w:tc>
      </w:tr>
    </w:tbl>
    <w:p w14:paraId="706AD12A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2-3 非功能需求与验收标准表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6AE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4CE73A8F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非功能项</w:t>
            </w:r>
          </w:p>
        </w:tc>
        <w:tc>
          <w:tcPr>
            <w:tcW w:w="3060" w:type="dxa"/>
            <w:vAlign w:val="center"/>
          </w:tcPr>
          <w:p w14:paraId="5DBE54FE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设计要求</w:t>
            </w:r>
          </w:p>
        </w:tc>
        <w:tc>
          <w:tcPr>
            <w:tcW w:w="3060" w:type="dxa"/>
            <w:vAlign w:val="center"/>
          </w:tcPr>
          <w:p w14:paraId="69CF7454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验收标准</w:t>
            </w:r>
          </w:p>
        </w:tc>
      </w:tr>
      <w:tr w14:paraId="551F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774BF92">
            <w:pPr>
              <w:spacing w:after="0"/>
            </w:pPr>
            <w:r>
              <w:rPr>
                <w:sz w:val="18"/>
              </w:rPr>
              <w:t>一致性</w:t>
            </w:r>
          </w:p>
        </w:tc>
        <w:tc>
          <w:tcPr>
            <w:tcW w:w="3060" w:type="dxa"/>
            <w:vAlign w:val="center"/>
          </w:tcPr>
          <w:p w14:paraId="24E60B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数据库字段、API 字段和前端字段保持映射一致</w:t>
            </w:r>
          </w:p>
        </w:tc>
        <w:tc>
          <w:tcPr>
            <w:tcW w:w="3060" w:type="dxa"/>
            <w:vAlign w:val="center"/>
          </w:tcPr>
          <w:p w14:paraId="2840B301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核心接口响应字段与契约文档一致，页面能够正常渲染</w:t>
            </w:r>
          </w:p>
        </w:tc>
      </w:tr>
      <w:tr w14:paraId="680A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4357A5E6">
            <w:pPr>
              <w:spacing w:after="0"/>
            </w:pPr>
            <w:r>
              <w:rPr>
                <w:sz w:val="18"/>
              </w:rPr>
              <w:t>可复现性</w:t>
            </w:r>
          </w:p>
        </w:tc>
        <w:tc>
          <w:tcPr>
            <w:tcW w:w="3060" w:type="dxa"/>
            <w:vAlign w:val="center"/>
          </w:tcPr>
          <w:p w14:paraId="14843968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Docker、SQL 初始化顺序、正式导入脚本可重复运行</w:t>
            </w:r>
          </w:p>
        </w:tc>
        <w:tc>
          <w:tcPr>
            <w:tcW w:w="3060" w:type="dxa"/>
            <w:vAlign w:val="center"/>
          </w:tcPr>
          <w:p w14:paraId="2F9AFDE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清空数据库后可按脚本顺序重新建库并导入样例或正式数据</w:t>
            </w:r>
          </w:p>
        </w:tc>
      </w:tr>
      <w:tr w14:paraId="6B71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A1AD73D">
            <w:pPr>
              <w:spacing w:after="0"/>
            </w:pPr>
            <w:r>
              <w:rPr>
                <w:sz w:val="18"/>
              </w:rPr>
              <w:t>可解释性</w:t>
            </w:r>
          </w:p>
        </w:tc>
        <w:tc>
          <w:tcPr>
            <w:tcW w:w="3060" w:type="dxa"/>
            <w:vAlign w:val="center"/>
          </w:tcPr>
          <w:p w14:paraId="72C031DF">
            <w:pPr>
              <w:spacing w:after="0"/>
            </w:pPr>
            <w:r>
              <w:rPr>
                <w:sz w:val="18"/>
              </w:rPr>
              <w:t>核心查询提供 SQL、索引、EXPLAIN 和性能结果</w:t>
            </w:r>
          </w:p>
        </w:tc>
        <w:tc>
          <w:tcPr>
            <w:tcW w:w="3060" w:type="dxa"/>
            <w:vAlign w:val="center"/>
          </w:tcPr>
          <w:p w14:paraId="52463BCF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至少覆盖 Q1/Q5/Q12/Q14 的执行计划和索引分析</w:t>
            </w:r>
          </w:p>
        </w:tc>
      </w:tr>
      <w:tr w14:paraId="3C65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7B705AD">
            <w:pPr>
              <w:spacing w:after="0"/>
            </w:pPr>
            <w:r>
              <w:rPr>
                <w:sz w:val="18"/>
              </w:rPr>
              <w:t>可追踪性</w:t>
            </w:r>
          </w:p>
        </w:tc>
        <w:tc>
          <w:tcPr>
            <w:tcW w:w="3060" w:type="dxa"/>
            <w:vAlign w:val="center"/>
          </w:tcPr>
          <w:p w14:paraId="4361C07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导入、查询、事务和库存变化均写入日志</w:t>
            </w:r>
          </w:p>
        </w:tc>
        <w:tc>
          <w:tcPr>
            <w:tcW w:w="3060" w:type="dxa"/>
            <w:vAlign w:val="center"/>
          </w:tcPr>
          <w:p w14:paraId="1820C655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能够根据日志定位导入错误、查询耗时和事务结果</w:t>
            </w:r>
          </w:p>
        </w:tc>
      </w:tr>
      <w:tr w14:paraId="6E88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C178A3C">
            <w:pPr>
              <w:spacing w:after="0"/>
            </w:pPr>
            <w:r>
              <w:rPr>
                <w:sz w:val="18"/>
              </w:rPr>
              <w:t>安全性</w:t>
            </w:r>
          </w:p>
        </w:tc>
        <w:tc>
          <w:tcPr>
            <w:tcW w:w="3060" w:type="dxa"/>
            <w:vAlign w:val="center"/>
          </w:tcPr>
          <w:p w14:paraId="4E1EEE52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用户状态、角色权限和密码摘要受控</w:t>
            </w:r>
          </w:p>
        </w:tc>
        <w:tc>
          <w:tcPr>
            <w:tcW w:w="3060" w:type="dxa"/>
            <w:vAlign w:val="center"/>
          </w:tcPr>
          <w:p w14:paraId="13A9A76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未审批或禁用用户不能访问业务功能</w:t>
            </w:r>
          </w:p>
        </w:tc>
      </w:tr>
    </w:tbl>
    <w:p w14:paraId="0325252C">
      <w:pPr>
        <w:pStyle w:val="3"/>
        <w:spacing w:before="240" w:after="240"/>
        <w:jc w:val="center"/>
        <w:rPr>
          <w:lang w:eastAsia="zh-CN"/>
        </w:rPr>
      </w:pPr>
      <w:bookmarkStart w:id="17" w:name="__RefHeading___Toc5801_2153205702"/>
      <w:bookmarkEnd w:id="17"/>
      <w:r>
        <w:rPr>
          <w:rFonts w:ascii="Times New Roman" w:hAnsi="Times New Roman" w:eastAsia="黑体"/>
          <w:lang w:eastAsia="zh-CN"/>
        </w:rPr>
        <w:t>第 3 章 系统设计</w:t>
      </w:r>
    </w:p>
    <w:p w14:paraId="430FA921">
      <w:pPr>
        <w:pStyle w:val="4"/>
        <w:spacing w:before="200"/>
        <w:rPr>
          <w:lang w:eastAsia="zh-CN"/>
        </w:rPr>
      </w:pPr>
      <w:bookmarkStart w:id="18" w:name="__RefHeading___Toc5803_2153205702"/>
      <w:bookmarkEnd w:id="18"/>
      <w:r>
        <w:rPr>
          <w:rFonts w:ascii="Times New Roman" w:hAnsi="Times New Roman" w:eastAsia="黑体"/>
          <w:lang w:eastAsia="zh-CN"/>
        </w:rPr>
        <w:t>3.1 系统总体架构设计</w:t>
      </w:r>
    </w:p>
    <w:p w14:paraId="4AD82DE8">
      <w:pPr>
        <w:spacing w:after="0"/>
        <w:rPr>
          <w:lang w:eastAsia="zh-CN"/>
        </w:rPr>
      </w:pPr>
      <w:r>
        <w:rPr>
          <w:lang w:eastAsia="zh-CN"/>
        </w:rPr>
        <w:t>系统采用前后端分离与数据库集中管理的总体架构。表现层负责页面交互、表格和图表展示；接口层提供 REST API、统一响应格式、分页结构和错误码；业务层负责用户权限、导入清洗、业务查询、统计分析和事务处理；数据访问层负责 Mapper/JDBC 调用与字段映射；数据库与实验层负责 PostgreSQL 表结构、约束、触发器、索引、执行计划和性能测试。</w:t>
      </w:r>
    </w:p>
    <w:p w14:paraId="626602BB">
      <w:pPr>
        <w:spacing w:after="0"/>
        <w:rPr>
          <w:lang w:eastAsia="zh-CN"/>
        </w:rPr>
      </w:pPr>
      <w:r>
        <w:rPr>
          <w:lang w:eastAsia="zh-CN"/>
        </w:rPr>
        <w:t>架构设计强调职责边界清晰。数据库与 SQL 模块提供稳定的表结构、查询模板和数据库说明；后端服务模块封装业务接口、事务流程和字段映射；前端与可视化模块实现页面、图表和交互体验；部署与性能测试模块维护容器环境、正式数据导入、压力测试和结果归档。各层通过统一契约衔接，减少临时约定引发的实现偏差。</w:t>
      </w:r>
    </w:p>
    <w:p w14:paraId="7E83BDE2">
      <w:pPr>
        <w:jc w:val="center"/>
      </w:pPr>
      <w:r>
        <w:drawing>
          <wp:inline distT="0" distB="0" distL="0" distR="0">
            <wp:extent cx="5394960" cy="2926715"/>
            <wp:effectExtent l="0" t="0" r="0" b="0"/>
            <wp:docPr id="4" name="Picture 22" descr="架构设计强调职责边界清晰。数据库与 SQL 模块提供稳定的表结构、查询模板和数据库说明；后端服务模块封装业务接口、事务流程和字段映射；前端与可视化模块实现页面、图表和交互体验；部署与性能测试模块维护容器环境、正式数据导入、压力测试和结果归档。各层通过统一契约衔接，减少临时约定引发的实现偏差。" title="架构设计强调职责边界清晰。数据库与 SQL 模块提供稳定的表结构、查询模板和数据库说明；后端服务模块封装业务接口、事务流程和字段映射；前端与可视化模块实现页面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89445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3-1 系统总体架构示意图</w:t>
      </w:r>
    </w:p>
    <w:p w14:paraId="0CFCD6A3">
      <w:pPr>
        <w:pStyle w:val="4"/>
        <w:spacing w:before="200"/>
        <w:rPr>
          <w:lang w:eastAsia="zh-CN"/>
        </w:rPr>
      </w:pPr>
      <w:bookmarkStart w:id="19" w:name="__RefHeading___Toc5805_2153205702"/>
      <w:bookmarkEnd w:id="19"/>
      <w:r>
        <w:rPr>
          <w:rFonts w:ascii="Times New Roman" w:hAnsi="Times New Roman" w:eastAsia="黑体"/>
          <w:lang w:eastAsia="zh-CN"/>
        </w:rPr>
        <w:t>3.2 系统层次结构设计</w:t>
      </w:r>
    </w:p>
    <w:p w14:paraId="5AC2EE33">
      <w:pPr>
        <w:spacing w:after="0"/>
        <w:rPr>
          <w:lang w:eastAsia="zh-CN"/>
        </w:rPr>
      </w:pPr>
      <w:r>
        <w:rPr>
          <w:lang w:eastAsia="zh-CN"/>
        </w:rPr>
        <w:t>系统层次结构自上而下分为表现层、接口层、业务层、数据访问层、数据库层和测试分析层。表现层只处理用户交互和结果展示，不直接访问数据库；接口层屏蔽内部字段命名差异，统一返回 lowerCamelCase JSON；业务层组织权限、导入、查询、事务和日志逻辑；数据访问层执行 SQL 并完成 ResultMap 映射；数据库层提供表、约束、触发器、存储过程和索引；测试分析层提供 EXPLAIN 和并发测试证据。</w:t>
      </w:r>
    </w:p>
    <w:p w14:paraId="03390335">
      <w:pPr>
        <w:jc w:val="center"/>
      </w:pPr>
      <w:r>
        <w:drawing>
          <wp:inline distT="0" distB="0" distL="0" distR="0">
            <wp:extent cx="5074920" cy="3148965"/>
            <wp:effectExtent l="0" t="0" r="0" b="0"/>
            <wp:docPr id="5" name="Picture 23" descr="系统层次结构自上而下分为表现层、接口层、业务层、数据访问层、数据库层和测试分析层。表现层只处理用户交互和结果展示，不直接访问数据库；接口层屏蔽内部字段命名差异，统一返回 lowerCamelCase JSON；业务层组织权限、导入、查询、事务和日志逻辑；数据访问层执行 SQL 并完成 ResultMap 映射；数据库层提供表、约束、触发器、存储过程和索引；测试分析层提供 EXPLAIN 和并发测试证据。" title="系统层次结构自上而下分为表现层、接口层、业务层、数据访问层、数据库层和测试分析层。表现层只处理用户交互和结果展示，不直接访问数据库；接口层屏蔽内部字段命名差异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4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CB237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3-2 系统层次结构示意图</w:t>
      </w:r>
    </w:p>
    <w:p w14:paraId="5C8DB708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3-1 系统层次结构说明表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656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43B39096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层次</w:t>
            </w:r>
          </w:p>
        </w:tc>
        <w:tc>
          <w:tcPr>
            <w:tcW w:w="3060" w:type="dxa"/>
            <w:vAlign w:val="center"/>
          </w:tcPr>
          <w:p w14:paraId="5ABEACCC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主要职责</w:t>
            </w:r>
          </w:p>
        </w:tc>
        <w:tc>
          <w:tcPr>
            <w:tcW w:w="3060" w:type="dxa"/>
            <w:vAlign w:val="center"/>
          </w:tcPr>
          <w:p w14:paraId="5FF7F3EF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关键约束</w:t>
            </w:r>
          </w:p>
        </w:tc>
      </w:tr>
      <w:tr w14:paraId="5E47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6F07402C">
            <w:pPr>
              <w:spacing w:after="0"/>
            </w:pPr>
            <w:r>
              <w:rPr>
                <w:sz w:val="18"/>
              </w:rPr>
              <w:t>表现层</w:t>
            </w:r>
          </w:p>
        </w:tc>
        <w:tc>
          <w:tcPr>
            <w:tcW w:w="3060" w:type="dxa"/>
            <w:vAlign w:val="center"/>
          </w:tcPr>
          <w:p w14:paraId="0435BBC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页面、表格、图表、交互操作</w:t>
            </w:r>
          </w:p>
        </w:tc>
        <w:tc>
          <w:tcPr>
            <w:tcW w:w="3060" w:type="dxa"/>
            <w:vAlign w:val="center"/>
          </w:tcPr>
          <w:p w14:paraId="1C720C20">
            <w:pPr>
              <w:spacing w:after="0"/>
            </w:pPr>
            <w:r>
              <w:rPr>
                <w:sz w:val="18"/>
              </w:rPr>
              <w:t>只依赖 API/Mock 字段，不直接依赖数据库字段</w:t>
            </w:r>
          </w:p>
        </w:tc>
      </w:tr>
      <w:tr w14:paraId="2DF3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9B537B1">
            <w:pPr>
              <w:spacing w:after="0"/>
            </w:pPr>
            <w:r>
              <w:rPr>
                <w:sz w:val="18"/>
              </w:rPr>
              <w:t>接口层</w:t>
            </w:r>
          </w:p>
        </w:tc>
        <w:tc>
          <w:tcPr>
            <w:tcW w:w="3060" w:type="dxa"/>
            <w:vAlign w:val="center"/>
          </w:tcPr>
          <w:p w14:paraId="0826450A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REST API、统一响应、分页、错误码</w:t>
            </w:r>
          </w:p>
        </w:tc>
        <w:tc>
          <w:tcPr>
            <w:tcW w:w="3060" w:type="dxa"/>
            <w:vAlign w:val="center"/>
          </w:tcPr>
          <w:p w14:paraId="3F334BE7">
            <w:pPr>
              <w:spacing w:after="0"/>
            </w:pPr>
            <w:r>
              <w:rPr>
                <w:sz w:val="18"/>
              </w:rPr>
              <w:t>对外字段使用 lowerCamelCase</w:t>
            </w:r>
          </w:p>
        </w:tc>
      </w:tr>
      <w:tr w14:paraId="5669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7DCB77C">
            <w:pPr>
              <w:spacing w:after="0"/>
            </w:pPr>
            <w:r>
              <w:rPr>
                <w:sz w:val="18"/>
              </w:rPr>
              <w:t>业务层</w:t>
            </w:r>
          </w:p>
        </w:tc>
        <w:tc>
          <w:tcPr>
            <w:tcW w:w="3060" w:type="dxa"/>
            <w:vAlign w:val="center"/>
          </w:tcPr>
          <w:p w14:paraId="6978053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权限、导入、查询、事务、日志</w:t>
            </w:r>
          </w:p>
        </w:tc>
        <w:tc>
          <w:tcPr>
            <w:tcW w:w="3060" w:type="dxa"/>
            <w:vAlign w:val="center"/>
          </w:tcPr>
          <w:p w14:paraId="3C6DABEF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保证事务边界和异常处理</w:t>
            </w:r>
          </w:p>
        </w:tc>
      </w:tr>
      <w:tr w14:paraId="4A16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2257F0B">
            <w:pPr>
              <w:spacing w:after="0"/>
            </w:pPr>
            <w:r>
              <w:rPr>
                <w:sz w:val="18"/>
              </w:rPr>
              <w:t>数据访问层</w:t>
            </w:r>
          </w:p>
        </w:tc>
        <w:tc>
          <w:tcPr>
            <w:tcW w:w="3060" w:type="dxa"/>
            <w:vAlign w:val="center"/>
          </w:tcPr>
          <w:p w14:paraId="6387A7B4">
            <w:pPr>
              <w:spacing w:after="0"/>
            </w:pPr>
            <w:r>
              <w:rPr>
                <w:sz w:val="18"/>
              </w:rPr>
              <w:t>Mapper/JDBC、SQL 调用、ResultMap</w:t>
            </w:r>
          </w:p>
        </w:tc>
        <w:tc>
          <w:tcPr>
            <w:tcW w:w="3060" w:type="dxa"/>
            <w:vAlign w:val="center"/>
          </w:tcPr>
          <w:p w14:paraId="66399501">
            <w:pPr>
              <w:spacing w:after="0"/>
            </w:pPr>
            <w:r>
              <w:rPr>
                <w:sz w:val="18"/>
              </w:rPr>
              <w:t>映射 snake_case 到 lowerCamelCase</w:t>
            </w:r>
          </w:p>
        </w:tc>
      </w:tr>
      <w:tr w14:paraId="79D2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53CCF6F5">
            <w:pPr>
              <w:spacing w:after="0"/>
            </w:pPr>
            <w:r>
              <w:rPr>
                <w:sz w:val="18"/>
              </w:rPr>
              <w:t>数据库层</w:t>
            </w:r>
          </w:p>
        </w:tc>
        <w:tc>
          <w:tcPr>
            <w:tcW w:w="3060" w:type="dxa"/>
            <w:vAlign w:val="center"/>
          </w:tcPr>
          <w:p w14:paraId="792B0864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表、约束、触发器、存储过程、索引</w:t>
            </w:r>
          </w:p>
        </w:tc>
        <w:tc>
          <w:tcPr>
            <w:tcW w:w="3060" w:type="dxa"/>
            <w:vAlign w:val="center"/>
          </w:tcPr>
          <w:p w14:paraId="02EDDA0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SQL 源资产唯一且可复现</w:t>
            </w:r>
          </w:p>
        </w:tc>
      </w:tr>
      <w:tr w14:paraId="3F48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F4E5AD6">
            <w:pPr>
              <w:spacing w:after="0"/>
            </w:pPr>
            <w:r>
              <w:rPr>
                <w:sz w:val="18"/>
              </w:rPr>
              <w:t>测试分析层</w:t>
            </w:r>
          </w:p>
        </w:tc>
        <w:tc>
          <w:tcPr>
            <w:tcW w:w="3060" w:type="dxa"/>
            <w:vAlign w:val="center"/>
          </w:tcPr>
          <w:p w14:paraId="1BFF96D7">
            <w:pPr>
              <w:spacing w:after="0"/>
            </w:pPr>
            <w:r>
              <w:rPr>
                <w:sz w:val="18"/>
              </w:rPr>
              <w:t>EXPLAIN、并发测试、性能结果</w:t>
            </w:r>
          </w:p>
        </w:tc>
        <w:tc>
          <w:tcPr>
            <w:tcW w:w="3060" w:type="dxa"/>
            <w:vAlign w:val="center"/>
          </w:tcPr>
          <w:p w14:paraId="374A7A71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记录数据规模、索引状态和原始输出</w:t>
            </w:r>
          </w:p>
        </w:tc>
      </w:tr>
    </w:tbl>
    <w:p w14:paraId="4A428543">
      <w:pPr>
        <w:pStyle w:val="4"/>
        <w:spacing w:before="200"/>
        <w:rPr>
          <w:lang w:eastAsia="zh-CN"/>
        </w:rPr>
      </w:pPr>
      <w:bookmarkStart w:id="20" w:name="__RefHeading___Toc5807_2153205702"/>
      <w:bookmarkEnd w:id="20"/>
      <w:r>
        <w:rPr>
          <w:rFonts w:ascii="Times New Roman" w:hAnsi="Times New Roman" w:eastAsia="黑体"/>
          <w:lang w:eastAsia="zh-CN"/>
        </w:rPr>
        <w:t>3.3 软件模块设计</w:t>
      </w:r>
    </w:p>
    <w:p w14:paraId="74FF3121">
      <w:pPr>
        <w:spacing w:after="0"/>
        <w:rPr>
          <w:lang w:eastAsia="zh-CN"/>
        </w:rPr>
      </w:pPr>
      <w:r>
        <w:rPr>
          <w:lang w:eastAsia="zh-CN"/>
        </w:rPr>
        <w:t>系统功能模块包括用户与权限模块、数据管理模块、业务查询模块、TPC-H 统计分析模块、TPC-C 事务处理模块、日志审计模块、性能分析模块和报告证据模块。用户与权限模块控制系统入口；数据管理模块处理导入、清洗、错误日志和导出；TPC-H 模块提供分析型查询；TPC-C 模块提供事务型处理；日志审计模块记录查询、事务、导入和库存变化；性能分析模块记录索引、执行计划和并发指标。</w:t>
      </w:r>
    </w:p>
    <w:p w14:paraId="7D0CBE5D">
      <w:pPr>
        <w:spacing w:before="60" w:after="120"/>
        <w:jc w:val="center"/>
      </w:pPr>
      <w:r>
        <w:rPr>
          <w:sz w:val="21"/>
        </w:rPr>
        <w:t>表 3-2 系统功能模块设计表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14A9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6CEFEDE5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模块</w:t>
            </w:r>
          </w:p>
        </w:tc>
        <w:tc>
          <w:tcPr>
            <w:tcW w:w="3060" w:type="dxa"/>
            <w:vAlign w:val="center"/>
          </w:tcPr>
          <w:p w14:paraId="4B864AA0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核心对象</w:t>
            </w:r>
          </w:p>
        </w:tc>
        <w:tc>
          <w:tcPr>
            <w:tcW w:w="3060" w:type="dxa"/>
            <w:vAlign w:val="center"/>
          </w:tcPr>
          <w:p w14:paraId="79E9AD45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设计说明</w:t>
            </w:r>
          </w:p>
        </w:tc>
      </w:tr>
      <w:tr w14:paraId="797F1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80CCBA4">
            <w:pPr>
              <w:spacing w:after="0"/>
            </w:pPr>
            <w:r>
              <w:rPr>
                <w:sz w:val="18"/>
              </w:rPr>
              <w:t>用户与权限</w:t>
            </w:r>
          </w:p>
        </w:tc>
        <w:tc>
          <w:tcPr>
            <w:tcW w:w="3060" w:type="dxa"/>
            <w:vAlign w:val="center"/>
          </w:tcPr>
          <w:p w14:paraId="5DED29A5">
            <w:pPr>
              <w:spacing w:after="0"/>
            </w:pPr>
            <w:r>
              <w:rPr>
                <w:sz w:val="18"/>
              </w:rPr>
              <w:t>app_user</w:t>
            </w:r>
          </w:p>
        </w:tc>
        <w:tc>
          <w:tcPr>
            <w:tcW w:w="3060" w:type="dxa"/>
            <w:vAlign w:val="center"/>
          </w:tcPr>
          <w:p w14:paraId="6E637B5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维护用户身份、角色和状态，支撑审批、禁用和权限判断</w:t>
            </w:r>
          </w:p>
        </w:tc>
      </w:tr>
      <w:tr w14:paraId="07F0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CAC1A31">
            <w:pPr>
              <w:spacing w:after="0"/>
            </w:pPr>
            <w:r>
              <w:rPr>
                <w:sz w:val="18"/>
              </w:rPr>
              <w:t>数据管理</w:t>
            </w:r>
          </w:p>
        </w:tc>
        <w:tc>
          <w:tcPr>
            <w:tcW w:w="3060" w:type="dxa"/>
            <w:vAlign w:val="center"/>
          </w:tcPr>
          <w:p w14:paraId="11757E7B">
            <w:pPr>
              <w:spacing w:after="0"/>
            </w:pPr>
            <w:r>
              <w:rPr>
                <w:sz w:val="18"/>
              </w:rPr>
              <w:t>import_task、import_error_log</w:t>
            </w:r>
          </w:p>
        </w:tc>
        <w:tc>
          <w:tcPr>
            <w:tcW w:w="3060" w:type="dxa"/>
            <w:vAlign w:val="center"/>
          </w:tcPr>
          <w:p w14:paraId="6381DC65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记录导入任务和错误明细，支持行级校验与失败追踪</w:t>
            </w:r>
          </w:p>
        </w:tc>
      </w:tr>
      <w:tr w14:paraId="3144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41A2293B">
            <w:pPr>
              <w:spacing w:after="0"/>
            </w:pPr>
            <w:r>
              <w:rPr>
                <w:sz w:val="18"/>
              </w:rPr>
              <w:t>业务查询</w:t>
            </w:r>
          </w:p>
        </w:tc>
        <w:tc>
          <w:tcPr>
            <w:tcW w:w="3060" w:type="dxa"/>
            <w:vAlign w:val="center"/>
          </w:tcPr>
          <w:p w14:paraId="05149C92">
            <w:pPr>
              <w:spacing w:after="0"/>
            </w:pPr>
            <w:r>
              <w:rPr>
                <w:sz w:val="18"/>
              </w:rPr>
              <w:t>customer、orders、lineitem 等</w:t>
            </w:r>
          </w:p>
        </w:tc>
        <w:tc>
          <w:tcPr>
            <w:tcW w:w="3060" w:type="dxa"/>
            <w:vAlign w:val="center"/>
          </w:tcPr>
          <w:p w14:paraId="02C7423E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支持条件检索、分页展示、排序和查询日志记录</w:t>
            </w:r>
          </w:p>
        </w:tc>
      </w:tr>
      <w:tr w14:paraId="608C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3DB72C01">
            <w:pPr>
              <w:spacing w:after="0"/>
            </w:pPr>
            <w:r>
              <w:rPr>
                <w:sz w:val="18"/>
              </w:rPr>
              <w:t>TPC-H 分析</w:t>
            </w:r>
          </w:p>
        </w:tc>
        <w:tc>
          <w:tcPr>
            <w:tcW w:w="3060" w:type="dxa"/>
            <w:vAlign w:val="center"/>
          </w:tcPr>
          <w:p w14:paraId="371FE9D9">
            <w:pPr>
              <w:spacing w:after="0"/>
            </w:pPr>
            <w:r>
              <w:rPr>
                <w:sz w:val="18"/>
              </w:rPr>
              <w:t>Q1/Q5/Q12/Q14 SQL</w:t>
            </w:r>
          </w:p>
        </w:tc>
        <w:tc>
          <w:tcPr>
            <w:tcW w:w="3060" w:type="dxa"/>
            <w:vAlign w:val="center"/>
          </w:tcPr>
          <w:p w14:paraId="5E5AE83F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支持复杂统计查询、执行耗时记录和图表展示</w:t>
            </w:r>
          </w:p>
        </w:tc>
      </w:tr>
      <w:tr w14:paraId="3705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DA906F1">
            <w:pPr>
              <w:spacing w:after="0"/>
            </w:pPr>
            <w:r>
              <w:rPr>
                <w:sz w:val="18"/>
              </w:rPr>
              <w:t>TPC-C 事务</w:t>
            </w:r>
          </w:p>
        </w:tc>
        <w:tc>
          <w:tcPr>
            <w:tcW w:w="3060" w:type="dxa"/>
            <w:vAlign w:val="center"/>
          </w:tcPr>
          <w:p w14:paraId="287C03C0">
            <w:pPr>
              <w:spacing w:after="0"/>
            </w:pPr>
            <w:r>
              <w:rPr>
                <w:sz w:val="18"/>
              </w:rPr>
              <w:t>warehouse、district、stock、tpcc_orders 等</w:t>
            </w:r>
          </w:p>
        </w:tc>
        <w:tc>
          <w:tcPr>
            <w:tcW w:w="3060" w:type="dxa"/>
            <w:vAlign w:val="center"/>
          </w:tcPr>
          <w:p w14:paraId="38A89911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支持订单创建、支付更新、库存扣减和事务回滚</w:t>
            </w:r>
          </w:p>
        </w:tc>
      </w:tr>
      <w:tr w14:paraId="3BE2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56636B83">
            <w:pPr>
              <w:spacing w:after="0"/>
            </w:pPr>
            <w:r>
              <w:rPr>
                <w:sz w:val="18"/>
              </w:rPr>
              <w:t>日志审计</w:t>
            </w:r>
          </w:p>
        </w:tc>
        <w:tc>
          <w:tcPr>
            <w:tcW w:w="3060" w:type="dxa"/>
            <w:vAlign w:val="center"/>
          </w:tcPr>
          <w:p w14:paraId="3F2054A9">
            <w:pPr>
              <w:spacing w:after="0"/>
            </w:pPr>
            <w:r>
              <w:rPr>
                <w:sz w:val="18"/>
              </w:rPr>
              <w:t>query_log、transaction_log、stock_change_log</w:t>
            </w:r>
          </w:p>
        </w:tc>
        <w:tc>
          <w:tcPr>
            <w:tcW w:w="3060" w:type="dxa"/>
            <w:vAlign w:val="center"/>
          </w:tcPr>
          <w:p w14:paraId="565CA997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保存查询、事务和库存变化证据</w:t>
            </w:r>
          </w:p>
        </w:tc>
      </w:tr>
      <w:tr w14:paraId="3D5D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B2AD024">
            <w:pPr>
              <w:spacing w:after="0"/>
            </w:pPr>
            <w:r>
              <w:rPr>
                <w:sz w:val="18"/>
              </w:rPr>
              <w:t>性能分析</w:t>
            </w:r>
          </w:p>
        </w:tc>
        <w:tc>
          <w:tcPr>
            <w:tcW w:w="3060" w:type="dxa"/>
            <w:vAlign w:val="center"/>
          </w:tcPr>
          <w:p w14:paraId="047F9D18">
            <w:pPr>
              <w:spacing w:after="0"/>
            </w:pPr>
            <w:r>
              <w:rPr>
                <w:sz w:val="18"/>
              </w:rPr>
              <w:t>performance_result、EXPLAIN 输出</w:t>
            </w:r>
          </w:p>
        </w:tc>
        <w:tc>
          <w:tcPr>
            <w:tcW w:w="3060" w:type="dxa"/>
            <w:vAlign w:val="center"/>
          </w:tcPr>
          <w:p w14:paraId="2EBA550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保存压测指标、索引状态和执行计划</w:t>
            </w:r>
          </w:p>
        </w:tc>
      </w:tr>
    </w:tbl>
    <w:p w14:paraId="44C8875A">
      <w:pPr>
        <w:pStyle w:val="4"/>
        <w:spacing w:before="200"/>
      </w:pPr>
      <w:bookmarkStart w:id="21" w:name="__RefHeading___Toc5809_2153205702"/>
      <w:bookmarkEnd w:id="21"/>
      <w:r>
        <w:rPr>
          <w:rFonts w:ascii="Times New Roman" w:hAnsi="Times New Roman" w:eastAsia="黑体"/>
        </w:rPr>
        <w:t>3.4 前后端交互设计</w:t>
      </w:r>
    </w:p>
    <w:p w14:paraId="5BFD552B">
      <w:pPr>
        <w:spacing w:after="0"/>
        <w:rPr>
          <w:lang w:eastAsia="zh-CN"/>
        </w:rPr>
      </w:pPr>
      <w:r>
        <w:t>前后端交互采用 REST API 与统一 JSON 响应格式。成功响应包含 code、message 和 data；分页响应在 data 中包含 pageNo、pageSize、total 和 records；错误响应使用统一错误码和错误信息。</w:t>
      </w:r>
      <w:r>
        <w:rPr>
          <w:lang w:eastAsia="zh-CN"/>
        </w:rPr>
        <w:t>接口层负责把数据库字段和 SQL 输出别名转换为前端可直接使用的 lowerCamelCase 字段。</w:t>
      </w:r>
    </w:p>
    <w:p w14:paraId="20B94BC8">
      <w:pPr>
        <w:spacing w:before="60" w:after="120"/>
        <w:jc w:val="center"/>
      </w:pPr>
      <w:r>
        <w:rPr>
          <w:sz w:val="21"/>
        </w:rPr>
        <w:t>表 3-3 前后端字段映射示例表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4C7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7F9D067A">
            <w:pPr>
              <w:spacing w:after="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0"/>
                <w:lang w:eastAsia="zh-CN"/>
              </w:rPr>
              <w:t>数据库字段或 SQL 别名</w:t>
            </w:r>
          </w:p>
        </w:tc>
        <w:tc>
          <w:tcPr>
            <w:tcW w:w="3060" w:type="dxa"/>
            <w:vAlign w:val="center"/>
          </w:tcPr>
          <w:p w14:paraId="460E79D2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API 字段</w:t>
            </w:r>
          </w:p>
        </w:tc>
        <w:tc>
          <w:tcPr>
            <w:tcW w:w="3060" w:type="dxa"/>
            <w:vAlign w:val="center"/>
          </w:tcPr>
          <w:p w14:paraId="34643EBD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展示含义</w:t>
            </w:r>
          </w:p>
        </w:tc>
      </w:tr>
      <w:tr w14:paraId="0F1E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8E46F07">
            <w:pPr>
              <w:spacing w:after="0"/>
            </w:pPr>
            <w:r>
              <w:rPr>
                <w:sz w:val="18"/>
              </w:rPr>
              <w:t>return_flag</w:t>
            </w:r>
          </w:p>
        </w:tc>
        <w:tc>
          <w:tcPr>
            <w:tcW w:w="3060" w:type="dxa"/>
            <w:vAlign w:val="center"/>
          </w:tcPr>
          <w:p w14:paraId="6E845088">
            <w:pPr>
              <w:spacing w:after="0"/>
            </w:pPr>
            <w:r>
              <w:rPr>
                <w:sz w:val="18"/>
              </w:rPr>
              <w:t>returnFlag</w:t>
            </w:r>
          </w:p>
        </w:tc>
        <w:tc>
          <w:tcPr>
            <w:tcW w:w="3060" w:type="dxa"/>
            <w:vAlign w:val="center"/>
          </w:tcPr>
          <w:p w14:paraId="65126E4F">
            <w:pPr>
              <w:spacing w:after="0"/>
            </w:pPr>
            <w:r>
              <w:rPr>
                <w:sz w:val="18"/>
              </w:rPr>
              <w:t>Q1 退货标志</w:t>
            </w:r>
          </w:p>
        </w:tc>
      </w:tr>
      <w:tr w14:paraId="63F3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A7C990B">
            <w:pPr>
              <w:spacing w:after="0"/>
            </w:pPr>
            <w:r>
              <w:rPr>
                <w:sz w:val="18"/>
              </w:rPr>
              <w:t>line_status</w:t>
            </w:r>
          </w:p>
        </w:tc>
        <w:tc>
          <w:tcPr>
            <w:tcW w:w="3060" w:type="dxa"/>
            <w:vAlign w:val="center"/>
          </w:tcPr>
          <w:p w14:paraId="0907F49F">
            <w:pPr>
              <w:spacing w:after="0"/>
            </w:pPr>
            <w:r>
              <w:rPr>
                <w:sz w:val="18"/>
              </w:rPr>
              <w:t>lineStatus</w:t>
            </w:r>
          </w:p>
        </w:tc>
        <w:tc>
          <w:tcPr>
            <w:tcW w:w="3060" w:type="dxa"/>
            <w:vAlign w:val="center"/>
          </w:tcPr>
          <w:p w14:paraId="11401F07">
            <w:pPr>
              <w:spacing w:after="0"/>
            </w:pPr>
            <w:r>
              <w:rPr>
                <w:sz w:val="18"/>
              </w:rPr>
              <w:t>Q1 明细状态</w:t>
            </w:r>
          </w:p>
        </w:tc>
      </w:tr>
      <w:tr w14:paraId="3CE1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DD01C96">
            <w:pPr>
              <w:spacing w:after="0"/>
            </w:pPr>
            <w:r>
              <w:rPr>
                <w:sz w:val="18"/>
              </w:rPr>
              <w:t>nation_name</w:t>
            </w:r>
          </w:p>
        </w:tc>
        <w:tc>
          <w:tcPr>
            <w:tcW w:w="3060" w:type="dxa"/>
            <w:vAlign w:val="center"/>
          </w:tcPr>
          <w:p w14:paraId="33E5AABE">
            <w:pPr>
              <w:spacing w:after="0"/>
            </w:pPr>
            <w:r>
              <w:rPr>
                <w:sz w:val="18"/>
              </w:rPr>
              <w:t>nationName</w:t>
            </w:r>
          </w:p>
        </w:tc>
        <w:tc>
          <w:tcPr>
            <w:tcW w:w="3060" w:type="dxa"/>
            <w:vAlign w:val="center"/>
          </w:tcPr>
          <w:p w14:paraId="0CD4056E">
            <w:pPr>
              <w:spacing w:after="0"/>
            </w:pPr>
            <w:r>
              <w:rPr>
                <w:sz w:val="18"/>
              </w:rPr>
              <w:t>Q5 国家名称</w:t>
            </w:r>
          </w:p>
        </w:tc>
      </w:tr>
      <w:tr w14:paraId="05F1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0F9E1EB">
            <w:pPr>
              <w:spacing w:after="0"/>
            </w:pPr>
            <w:r>
              <w:rPr>
                <w:sz w:val="18"/>
              </w:rPr>
              <w:t>promo_revenue_percent</w:t>
            </w:r>
          </w:p>
        </w:tc>
        <w:tc>
          <w:tcPr>
            <w:tcW w:w="3060" w:type="dxa"/>
            <w:vAlign w:val="center"/>
          </w:tcPr>
          <w:p w14:paraId="2D5CC226">
            <w:pPr>
              <w:spacing w:after="0"/>
            </w:pPr>
            <w:r>
              <w:rPr>
                <w:sz w:val="18"/>
              </w:rPr>
              <w:t>promoRevenuePercent</w:t>
            </w:r>
          </w:p>
        </w:tc>
        <w:tc>
          <w:tcPr>
            <w:tcW w:w="3060" w:type="dxa"/>
            <w:vAlign w:val="center"/>
          </w:tcPr>
          <w:p w14:paraId="5A90F41C">
            <w:pPr>
              <w:spacing w:after="0"/>
            </w:pPr>
            <w:r>
              <w:rPr>
                <w:sz w:val="18"/>
              </w:rPr>
              <w:t>Q14 促销收入占比</w:t>
            </w:r>
          </w:p>
        </w:tc>
      </w:tr>
      <w:tr w14:paraId="4370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259B0203">
            <w:pPr>
              <w:spacing w:after="0"/>
            </w:pPr>
            <w:r>
              <w:rPr>
                <w:sz w:val="18"/>
              </w:rPr>
              <w:t>transaction_id</w:t>
            </w:r>
          </w:p>
        </w:tc>
        <w:tc>
          <w:tcPr>
            <w:tcW w:w="3060" w:type="dxa"/>
            <w:vAlign w:val="center"/>
          </w:tcPr>
          <w:p w14:paraId="46A8F060">
            <w:pPr>
              <w:spacing w:after="0"/>
            </w:pPr>
            <w:r>
              <w:rPr>
                <w:sz w:val="18"/>
              </w:rPr>
              <w:t>transactionId</w:t>
            </w:r>
          </w:p>
        </w:tc>
        <w:tc>
          <w:tcPr>
            <w:tcW w:w="3060" w:type="dxa"/>
            <w:vAlign w:val="center"/>
          </w:tcPr>
          <w:p w14:paraId="5A1A710F">
            <w:pPr>
              <w:spacing w:after="0"/>
            </w:pPr>
            <w:r>
              <w:rPr>
                <w:sz w:val="18"/>
              </w:rPr>
              <w:t>事务编号</w:t>
            </w:r>
          </w:p>
        </w:tc>
      </w:tr>
      <w:tr w14:paraId="7236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42540137">
            <w:pPr>
              <w:spacing w:after="0"/>
            </w:pPr>
            <w:r>
              <w:rPr>
                <w:sz w:val="18"/>
              </w:rPr>
              <w:t>related_transaction_id</w:t>
            </w:r>
          </w:p>
        </w:tc>
        <w:tc>
          <w:tcPr>
            <w:tcW w:w="3060" w:type="dxa"/>
            <w:vAlign w:val="center"/>
          </w:tcPr>
          <w:p w14:paraId="2BBF7EF0">
            <w:pPr>
              <w:spacing w:after="0"/>
            </w:pPr>
            <w:r>
              <w:rPr>
                <w:sz w:val="18"/>
              </w:rPr>
              <w:t>relatedTransactionId</w:t>
            </w:r>
          </w:p>
        </w:tc>
        <w:tc>
          <w:tcPr>
            <w:tcW w:w="3060" w:type="dxa"/>
            <w:vAlign w:val="center"/>
          </w:tcPr>
          <w:p w14:paraId="6C757C8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库存变化关联事务编号</w:t>
            </w:r>
          </w:p>
        </w:tc>
      </w:tr>
    </w:tbl>
    <w:p w14:paraId="2282DF14">
      <w:pPr>
        <w:spacing w:after="0"/>
        <w:rPr>
          <w:lang w:eastAsia="zh-CN"/>
        </w:rPr>
      </w:pPr>
      <w:r>
        <w:rPr>
          <w:lang w:eastAsia="zh-CN"/>
        </w:rPr>
        <w:t>前后端调用流程需要同时完成参数校验、权限判断、SQL 调用、字段映射、日志记录和统一响应封装。对于 TPC-H 查询，后端应记录查询开始时间和结束时间，并把查询名称、查询参数、耗时和返回行数写入 query_log；对于 TPC-C 事务，后端应在 Service 层开启事务，所有写操作必须位于同一事务边界内。</w:t>
      </w:r>
    </w:p>
    <w:p w14:paraId="11B4BF09">
      <w:pPr>
        <w:jc w:val="center"/>
      </w:pPr>
      <w:r>
        <w:drawing>
          <wp:inline distT="0" distB="0" distL="0" distR="0">
            <wp:extent cx="5440680" cy="3083560"/>
            <wp:effectExtent l="0" t="0" r="0" b="0"/>
            <wp:docPr id="6" name="Picture 24" descr="前后端调用流程需要同时完成参数校验、权限判断、SQL 调用、字段映射、日志记录和统一响应封装。对于 TPC-H 查询，后端应记录查询开始时间和结束时间，并把查询名称、查询参数、耗时和返回行数写入 query_log；对于 TPC-C 事务，后端应在 Service 层开启事务，所有写操作必须位于同一事务边界内。" title="前后端调用流程需要同时完成参数校验、权限判断、SQL 调用、字段映射、日志记录和统一响应封装。对于 TPC-H 查询，后端应记录查询开始时间和结束时间，并把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17BA8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3-3 前后端 API 调用时序图</w:t>
      </w:r>
    </w:p>
    <w:p w14:paraId="5FC1CF7E">
      <w:pPr>
        <w:pStyle w:val="4"/>
        <w:spacing w:before="200"/>
        <w:rPr>
          <w:lang w:eastAsia="zh-CN"/>
        </w:rPr>
      </w:pPr>
      <w:bookmarkStart w:id="22" w:name="__RefHeading___Toc5811_2153205702"/>
      <w:bookmarkEnd w:id="22"/>
      <w:r>
        <w:rPr>
          <w:rFonts w:ascii="Times New Roman" w:hAnsi="Times New Roman" w:eastAsia="黑体"/>
          <w:lang w:eastAsia="zh-CN"/>
        </w:rPr>
        <w:t>3.5 事务与异常处理设计</w:t>
      </w:r>
    </w:p>
    <w:p w14:paraId="29421175">
      <w:pPr>
        <w:spacing w:after="0"/>
        <w:rPr>
          <w:lang w:eastAsia="zh-CN"/>
        </w:rPr>
      </w:pPr>
      <w:r>
        <w:rPr>
          <w:lang w:eastAsia="zh-CN"/>
        </w:rPr>
        <w:t>事务处理设计以 TPC-C New-Order 和 Payment 为核心。New-Order 在同一事务中完成地区订单号读取与递增、订单头写入、未交付订单写入、订单明细写入、库存扣减和库存变化审计。Payment 在同一事务中完成仓库累计收款更新、地区累计收款更新、客户余额与支付次数更新、支付历史写入和事务日志记录。</w:t>
      </w:r>
    </w:p>
    <w:p w14:paraId="66A47292">
      <w:pPr>
        <w:spacing w:after="0"/>
      </w:pPr>
      <w:r>
        <w:rPr>
          <w:lang w:eastAsia="zh-CN"/>
        </w:rPr>
        <w:t>异常处理采用“先校验、再写入、失败回滚”的原则。若仓库、地区、客户、商品或库存记录不存在，或库存不足、付款金额非法、约束检查失败、任一写入失败，事务服务必须抛出异常并回滚已执行的数据库修改，最终返回统一错误响应。</w:t>
      </w:r>
      <w:r>
        <w:t>成功事务返回 transactionId、status、elapsedMs 和核心业务结果，失败事务返回错误码、错误信息和必要的定位字段。</w:t>
      </w:r>
    </w:p>
    <w:p w14:paraId="4DCC264D">
      <w:pPr>
        <w:jc w:val="center"/>
      </w:pPr>
      <w:r>
        <w:drawing>
          <wp:inline distT="0" distB="0" distL="0" distR="0">
            <wp:extent cx="5440680" cy="3223895"/>
            <wp:effectExtent l="0" t="0" r="0" b="0"/>
            <wp:docPr id="7" name="Picture 25" descr="异常处理采用“先校验、再写入、失败回滚”的原则。若仓库、地区、客户、商品或库存记录不存在，或库存不足、付款金额非法、约束检查失败、任一写入失败，事务服务必须抛出异常并回滚已执行的数据库修改，最终返回统一错误响应。成功事务返回 transactionId、status、elapsedMs 和核心业务结果，失败事务返回错误码、错误信息和必要的定位字段。" title="异常处理采用“先校验、再写入、失败回滚”的原则。若仓库、地区、客户、商品或库存记录不存在，或库存不足、付款金额非法、约束检查失败、任一写入失败，事务服务必须抛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63AF4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3-4 TPC-C 事务提交与回滚时序图</w:t>
      </w:r>
    </w:p>
    <w:p w14:paraId="3A707A75">
      <w:pPr>
        <w:pStyle w:val="4"/>
        <w:spacing w:before="200"/>
        <w:rPr>
          <w:lang w:eastAsia="zh-CN"/>
        </w:rPr>
      </w:pPr>
      <w:bookmarkStart w:id="23" w:name="__RefHeading___Toc5813_2153205702"/>
      <w:bookmarkEnd w:id="23"/>
      <w:r>
        <w:rPr>
          <w:rFonts w:ascii="Times New Roman" w:hAnsi="Times New Roman" w:eastAsia="黑体"/>
          <w:lang w:eastAsia="zh-CN"/>
        </w:rPr>
        <w:t>3.6 系统数据流设计</w:t>
      </w:r>
    </w:p>
    <w:p w14:paraId="0816AFDA">
      <w:pPr>
        <w:spacing w:after="0"/>
        <w:rPr>
          <w:lang w:eastAsia="zh-CN"/>
        </w:rPr>
      </w:pPr>
      <w:r>
        <w:rPr>
          <w:lang w:eastAsia="zh-CN"/>
        </w:rPr>
        <w:t>系统数据流从用户操作开始，经由前端页面发起 API 请求，后端服务进行参数校验、权限判断、业务处理和 SQL 调用，数据库执行查询或事务并返回结果，后端再完成字段映射、日志记录和统一响应封装，最终由前端渲染表格、图表或提示信息。对于性能分析场景，执行计划和压测结果不应只停留在控制台输出，而应保存为报告证据或性能结果记录。</w:t>
      </w:r>
    </w:p>
    <w:p w14:paraId="6964ED66">
      <w:pPr>
        <w:jc w:val="center"/>
      </w:pPr>
      <w:r>
        <w:drawing>
          <wp:inline distT="0" distB="0" distL="0" distR="0">
            <wp:extent cx="5394960" cy="2636520"/>
            <wp:effectExtent l="0" t="0" r="0" b="0"/>
            <wp:docPr id="8" name="Picture 26" descr="系统数据流从用户操作开始，经由前端页面发起 API 请求，后端服务进行参数校验、权限判断、业务处理和 SQL 调用，数据库执行查询或事务并返回结果，后端再完成字段映射、日志记录和统一响应封装，最终由前端渲染表格、图表或提示信息。对于性能分析场景，执行计划和压测结果不应只停留在控制台输出，而应保存为报告证据或性能结果记录。" title="系统数据流从用户操作开始，经由前端页面发起 API 请求，后端服务进行参数校验、权限判断、业务处理和 SQL 调用，数据库执行查询或事务并返回结果，后端再完成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44C87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3-5 系统关键数据流示意图</w:t>
      </w:r>
    </w:p>
    <w:p w14:paraId="3A28B527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3-4 关键业务数据流说明表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5151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46BA7867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数据流</w:t>
            </w:r>
          </w:p>
        </w:tc>
        <w:tc>
          <w:tcPr>
            <w:tcW w:w="2295" w:type="dxa"/>
            <w:vAlign w:val="center"/>
          </w:tcPr>
          <w:p w14:paraId="7AA9DC15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输入</w:t>
            </w:r>
          </w:p>
        </w:tc>
        <w:tc>
          <w:tcPr>
            <w:tcW w:w="2295" w:type="dxa"/>
            <w:vAlign w:val="center"/>
          </w:tcPr>
          <w:p w14:paraId="616D1B92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处理</w:t>
            </w:r>
          </w:p>
        </w:tc>
        <w:tc>
          <w:tcPr>
            <w:tcW w:w="2294" w:type="dxa"/>
            <w:vAlign w:val="center"/>
          </w:tcPr>
          <w:p w14:paraId="31C79951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输出</w:t>
            </w:r>
          </w:p>
        </w:tc>
      </w:tr>
      <w:tr w14:paraId="20ED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CD32103">
            <w:pPr>
              <w:spacing w:after="0"/>
            </w:pPr>
            <w:r>
              <w:rPr>
                <w:sz w:val="18"/>
              </w:rPr>
              <w:t>导入清洗</w:t>
            </w:r>
          </w:p>
        </w:tc>
        <w:tc>
          <w:tcPr>
            <w:tcW w:w="2295" w:type="dxa"/>
            <w:vAlign w:val="center"/>
          </w:tcPr>
          <w:p w14:paraId="0AA63EC5">
            <w:pPr>
              <w:spacing w:after="0"/>
              <w:ind w:firstLine="0"/>
            </w:pPr>
            <w:r>
              <w:rPr>
                <w:sz w:val="18"/>
              </w:rPr>
              <w:t>上传文件、目标表</w:t>
            </w:r>
          </w:p>
        </w:tc>
        <w:tc>
          <w:tcPr>
            <w:tcW w:w="2295" w:type="dxa"/>
            <w:vAlign w:val="center"/>
          </w:tcPr>
          <w:p w14:paraId="26C2B467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行级校验、批量写入、错误记录</w:t>
            </w:r>
          </w:p>
        </w:tc>
        <w:tc>
          <w:tcPr>
            <w:tcW w:w="2294" w:type="dxa"/>
            <w:vAlign w:val="center"/>
          </w:tcPr>
          <w:p w14:paraId="168FAD09">
            <w:pPr>
              <w:spacing w:after="0"/>
              <w:ind w:firstLine="0"/>
            </w:pPr>
            <w:r>
              <w:rPr>
                <w:sz w:val="18"/>
              </w:rPr>
              <w:t>导入任务、错误日志</w:t>
            </w:r>
          </w:p>
        </w:tc>
      </w:tr>
      <w:tr w14:paraId="46AC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2F81205">
            <w:pPr>
              <w:spacing w:after="0"/>
            </w:pPr>
            <w:r>
              <w:rPr>
                <w:sz w:val="18"/>
              </w:rPr>
              <w:t>TPC-H 查询</w:t>
            </w:r>
          </w:p>
        </w:tc>
        <w:tc>
          <w:tcPr>
            <w:tcW w:w="2295" w:type="dxa"/>
            <w:vAlign w:val="center"/>
          </w:tcPr>
          <w:p w14:paraId="61D83D47">
            <w:pPr>
              <w:spacing w:after="0"/>
              <w:ind w:firstLine="0"/>
            </w:pPr>
            <w:r>
              <w:rPr>
                <w:sz w:val="18"/>
              </w:rPr>
              <w:t>查询参数</w:t>
            </w:r>
          </w:p>
        </w:tc>
        <w:tc>
          <w:tcPr>
            <w:tcW w:w="2295" w:type="dxa"/>
            <w:vAlign w:val="center"/>
          </w:tcPr>
          <w:p w14:paraId="3FB3C979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执行统计 SQL、记录耗时、字段映射</w:t>
            </w:r>
          </w:p>
        </w:tc>
        <w:tc>
          <w:tcPr>
            <w:tcW w:w="2294" w:type="dxa"/>
            <w:vAlign w:val="center"/>
          </w:tcPr>
          <w:p w14:paraId="6F450A62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表格记录、图表数据、查询日志</w:t>
            </w:r>
          </w:p>
        </w:tc>
      </w:tr>
      <w:tr w14:paraId="2BD3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C01BB33">
            <w:pPr>
              <w:spacing w:after="0"/>
            </w:pPr>
            <w:r>
              <w:rPr>
                <w:sz w:val="18"/>
              </w:rPr>
              <w:t>New-Order</w:t>
            </w:r>
          </w:p>
        </w:tc>
        <w:tc>
          <w:tcPr>
            <w:tcW w:w="2295" w:type="dxa"/>
            <w:vAlign w:val="center"/>
          </w:tcPr>
          <w:p w14:paraId="49777948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仓库、地区、客户、商品数量</w:t>
            </w:r>
          </w:p>
        </w:tc>
        <w:tc>
          <w:tcPr>
            <w:tcW w:w="2295" w:type="dxa"/>
            <w:vAlign w:val="center"/>
          </w:tcPr>
          <w:p w14:paraId="07748C43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校验、生成订单、扣减库存、写日志</w:t>
            </w:r>
          </w:p>
        </w:tc>
        <w:tc>
          <w:tcPr>
            <w:tcW w:w="2294" w:type="dxa"/>
            <w:vAlign w:val="center"/>
          </w:tcPr>
          <w:p w14:paraId="1D35964C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订单号、事务状态、库存变化</w:t>
            </w:r>
          </w:p>
        </w:tc>
      </w:tr>
      <w:tr w14:paraId="5E15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707B2E1C"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w="2295" w:type="dxa"/>
            <w:vAlign w:val="center"/>
          </w:tcPr>
          <w:p w14:paraId="40A4CB27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仓库、地区、客户、支付金额</w:t>
            </w:r>
          </w:p>
        </w:tc>
        <w:tc>
          <w:tcPr>
            <w:tcW w:w="2295" w:type="dxa"/>
            <w:vAlign w:val="center"/>
          </w:tcPr>
          <w:p w14:paraId="0D126F10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更新收款、客户余额、写支付历史</w:t>
            </w:r>
          </w:p>
        </w:tc>
        <w:tc>
          <w:tcPr>
            <w:tcW w:w="2294" w:type="dxa"/>
            <w:vAlign w:val="center"/>
          </w:tcPr>
          <w:p w14:paraId="173B6EC4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新余额、事务状态、支付历史</w:t>
            </w:r>
          </w:p>
        </w:tc>
      </w:tr>
      <w:tr w14:paraId="50BB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6B8DB5E">
            <w:pPr>
              <w:spacing w:after="0"/>
            </w:pPr>
            <w:r>
              <w:rPr>
                <w:sz w:val="18"/>
              </w:rPr>
              <w:t>性能分析</w:t>
            </w:r>
          </w:p>
        </w:tc>
        <w:tc>
          <w:tcPr>
            <w:tcW w:w="2295" w:type="dxa"/>
            <w:vAlign w:val="center"/>
          </w:tcPr>
          <w:p w14:paraId="5CC47FBC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数据规模、索引状态、并发参数</w:t>
            </w:r>
          </w:p>
        </w:tc>
        <w:tc>
          <w:tcPr>
            <w:tcW w:w="2295" w:type="dxa"/>
            <w:vAlign w:val="center"/>
          </w:tcPr>
          <w:p w14:paraId="79654049">
            <w:pPr>
              <w:spacing w:after="0"/>
              <w:ind w:firstLine="0"/>
            </w:pPr>
            <w:r>
              <w:rPr>
                <w:sz w:val="18"/>
              </w:rPr>
              <w:t>EXPLAIN、压测、结果汇总</w:t>
            </w:r>
          </w:p>
        </w:tc>
        <w:tc>
          <w:tcPr>
            <w:tcW w:w="2294" w:type="dxa"/>
            <w:vAlign w:val="center"/>
          </w:tcPr>
          <w:p w14:paraId="3C602D6D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执行计划、延迟、吞吐量、图表数据</w:t>
            </w:r>
          </w:p>
        </w:tc>
      </w:tr>
    </w:tbl>
    <w:p w14:paraId="44430FCF">
      <w:pPr>
        <w:pStyle w:val="3"/>
        <w:spacing w:before="240" w:after="240"/>
        <w:jc w:val="center"/>
        <w:rPr>
          <w:lang w:eastAsia="zh-CN"/>
        </w:rPr>
      </w:pPr>
      <w:bookmarkStart w:id="24" w:name="__RefHeading___Toc5815_2153205702"/>
      <w:bookmarkEnd w:id="24"/>
      <w:r>
        <w:rPr>
          <w:rFonts w:ascii="Times New Roman" w:hAnsi="Times New Roman" w:eastAsia="黑体"/>
          <w:lang w:eastAsia="zh-CN"/>
        </w:rPr>
        <w:t>第 4 章 数据库设计</w:t>
      </w:r>
    </w:p>
    <w:p w14:paraId="5BC2582E">
      <w:pPr>
        <w:pStyle w:val="4"/>
        <w:spacing w:before="200"/>
        <w:rPr>
          <w:lang w:eastAsia="zh-CN"/>
        </w:rPr>
      </w:pPr>
      <w:bookmarkStart w:id="25" w:name="__RefHeading___Toc5817_2153205702"/>
      <w:bookmarkEnd w:id="25"/>
      <w:r>
        <w:rPr>
          <w:rFonts w:ascii="Times New Roman" w:hAnsi="Times New Roman" w:eastAsia="黑体"/>
          <w:lang w:eastAsia="zh-CN"/>
        </w:rPr>
        <w:t>4.1 数据库设计目标</w:t>
      </w:r>
    </w:p>
    <w:p w14:paraId="49BDD0B3">
      <w:pPr>
        <w:spacing w:after="0"/>
        <w:rPr>
          <w:lang w:eastAsia="zh-CN"/>
        </w:rPr>
      </w:pPr>
      <w:r>
        <w:rPr>
          <w:lang w:eastAsia="zh-CN"/>
        </w:rPr>
        <w:t>本项目数据库设计以 TPC-H 分析查询、TPC-C 事务处理和课程设计可演示性为核心目标。数据库层既要承载大规模电商数据的导入、查询和统计分析，又要支持 New-Order、Payment 两类事务的提交、回滚和审计记录。数据库设计不是孤立的表结构设计，而是后端接口、前端页面、性能测试和报告证据共同依赖的底层契约。</w:t>
      </w:r>
    </w:p>
    <w:p w14:paraId="11FC43C3">
      <w:pPr>
        <w:spacing w:after="0"/>
        <w:rPr>
          <w:lang w:eastAsia="zh-CN"/>
        </w:rPr>
      </w:pPr>
      <w:r>
        <w:rPr>
          <w:lang w:eastAsia="zh-CN"/>
        </w:rPr>
        <w:t>数据库实现采用 PostgreSQL，所有数据库对象遵循小写 snake_case 命名规范，不使用双引号创建表名或字段名。该规范能够避免 PostgreSQL 大小写敏感带来的 SQL 编写与 MyBatis/JDBC 映射问题，并使统一的 SQL 源资产能够被后端服务、前端展示和部署测试流程稳定复用。</w:t>
      </w:r>
    </w:p>
    <w:p w14:paraId="15C0566D">
      <w:pPr>
        <w:spacing w:after="0"/>
        <w:rPr>
          <w:lang w:eastAsia="zh-CN"/>
        </w:rPr>
      </w:pPr>
      <w:r>
        <w:rPr>
          <w:lang w:eastAsia="zh-CN"/>
        </w:rPr>
        <w:t>数据库设计的总体目标包括：建立 TPC-H 八张核心表，建立课程最小化 TPC-C 事务表，建立用户、导入、查询、事务、性能和库存审计等应用辅助表；设计主键、外键、CHECK、唯一约束和默认值；实现触发器、存储过程、索引初版和 EXPLAIN 分析模板；形成能够被 Docker 初始化、正式数据导入和系统联调共同使用的数据库资产。</w:t>
      </w:r>
    </w:p>
    <w:p w14:paraId="0EC04B1F">
      <w:pPr>
        <w:pStyle w:val="4"/>
        <w:spacing w:before="200"/>
        <w:rPr>
          <w:lang w:eastAsia="zh-CN"/>
        </w:rPr>
      </w:pPr>
      <w:bookmarkStart w:id="26" w:name="__RefHeading___Toc5819_2153205702"/>
      <w:bookmarkEnd w:id="26"/>
      <w:r>
        <w:rPr>
          <w:rFonts w:ascii="Times New Roman" w:hAnsi="Times New Roman" w:eastAsia="黑体"/>
          <w:lang w:eastAsia="zh-CN"/>
        </w:rPr>
        <w:t>4.2 E-R 图设计</w:t>
      </w:r>
    </w:p>
    <w:p w14:paraId="020EAE98">
      <w:pPr>
        <w:spacing w:after="0"/>
        <w:rPr>
          <w:lang w:eastAsia="zh-CN"/>
        </w:rPr>
      </w:pPr>
      <w:r>
        <w:rPr>
          <w:lang w:eastAsia="zh-CN"/>
        </w:rPr>
        <w:t>数据库 E-R 图按数据域拆分为 TPC-H 核心数据、TPC-C 事务数据和应用辅助数据三部分。TPC-H 数据域体现区域、国家、供应商、零部件、客户、订单和明细之间的分析型数据关系；TPC-C 数据域体现仓库、地区、客户、订单、库存和支付历史之间的事务型数据关系；应用辅助数据域体现用户、导入、错误日志、查询日志、事务日志、性能结果和库存审计之间的系统支撑关系。</w:t>
      </w:r>
    </w:p>
    <w:p w14:paraId="084CB7E4">
      <w:pPr>
        <w:jc w:val="center"/>
      </w:pPr>
      <w:r>
        <w:drawing>
          <wp:inline distT="0" distB="0" distL="0" distR="0">
            <wp:extent cx="5440680" cy="2519680"/>
            <wp:effectExtent l="0" t="0" r="0" b="0"/>
            <wp:docPr id="9" name="Picture 27" descr="数据库 E-R 图按数据域拆分为 TPC-H 核心数据、TPC-C 事务数据和应用辅助数据三部分。TPC-H 数据域体现区域、国家、供应商、零部件、客户、订单和明细之间的分析型数据关系；TPC-C 数据域体现仓库、地区、客户、订单、库存和支付历史之间的事务型数据关系；应用辅助数据域体现用户、导入、错误日志、查询日志、事务日志、性能结果和库存审计之间的系统支撑关系。" title="数据库 E-R 图按数据域拆分为 TPC-H 核心数据、TPC-C 事务数据和应用辅助数据三部分。TPC-H 数据域体现区域、国家、供应商、零部件、客户、订单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761ED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4-1 TPC-H 核心数据 E-R 图</w:t>
      </w:r>
    </w:p>
    <w:p w14:paraId="21B47F22">
      <w:pPr>
        <w:jc w:val="center"/>
      </w:pPr>
      <w:r>
        <w:drawing>
          <wp:inline distT="0" distB="0" distL="0" distR="0">
            <wp:extent cx="5440680" cy="2933700"/>
            <wp:effectExtent l="0" t="0" r="0" b="0"/>
            <wp:docPr id="10" name="Picture 28" descr="图 4-1 TPC-H 核心数据 E-R 图" title="图 4-1 TPC-H 核心数据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DEEDC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4-2 TPC-C 事务数据 E-R 图</w:t>
      </w:r>
    </w:p>
    <w:p w14:paraId="0E4137A8">
      <w:pPr>
        <w:jc w:val="center"/>
      </w:pPr>
      <w:r>
        <w:drawing>
          <wp:inline distT="0" distB="0" distL="0" distR="0">
            <wp:extent cx="5440680" cy="2959735"/>
            <wp:effectExtent l="0" t="0" r="0" b="0"/>
            <wp:docPr id="11" name="Picture 29" descr="图 4-2 TPC-C 事务数据 E-R 图" title="图 4-2 TPC-C 事务数据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0D150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4-3 应用辅助表 E-R 图</w:t>
      </w:r>
    </w:p>
    <w:p w14:paraId="756AED7C">
      <w:pPr>
        <w:pStyle w:val="4"/>
        <w:spacing w:before="200"/>
        <w:rPr>
          <w:lang w:eastAsia="zh-CN"/>
        </w:rPr>
      </w:pPr>
      <w:bookmarkStart w:id="27" w:name="__RefHeading___Toc5821_2153205702"/>
      <w:bookmarkEnd w:id="27"/>
      <w:r>
        <w:rPr>
          <w:rFonts w:ascii="Times New Roman" w:hAnsi="Times New Roman" w:eastAsia="黑体"/>
          <w:lang w:eastAsia="zh-CN"/>
        </w:rPr>
        <w:t>4.3 数据库逻辑设计与关系表设计</w:t>
      </w:r>
    </w:p>
    <w:p w14:paraId="22259EF7">
      <w:pPr>
        <w:spacing w:after="0"/>
        <w:rPr>
          <w:lang w:eastAsia="zh-CN"/>
        </w:rPr>
      </w:pPr>
      <w:r>
        <w:rPr>
          <w:lang w:eastAsia="zh-CN"/>
        </w:rPr>
        <w:t>数据库逻辑设计分为 TPC-H 核心表、TPC-C 事务表和应用辅助表三组。TPC-H 表结构与 dbgen 输出语义保持一致；TPC-C 表结构按课程最小实现冻结，只覆盖 New-Order 与 Payment 事务所需字段；应用辅助表服务于系统权限、导入任务、错误日志、查询日志、事务日志、性能结果和库存变动审计。</w:t>
      </w:r>
    </w:p>
    <w:p w14:paraId="18503962">
      <w:pPr>
        <w:pStyle w:val="5"/>
        <w:spacing w:before="160" w:after="80"/>
      </w:pPr>
      <w:bookmarkStart w:id="28" w:name="__RefHeading___Toc5823_2153205702"/>
      <w:bookmarkEnd w:id="28"/>
      <w:r>
        <w:rPr>
          <w:rFonts w:ascii="Times New Roman" w:hAnsi="Times New Roman" w:eastAsia="黑体"/>
        </w:rPr>
        <w:t>4.3.1 TPC-H 核心表设计</w:t>
      </w:r>
    </w:p>
    <w:p w14:paraId="58B61B4C">
      <w:pPr>
        <w:spacing w:after="0"/>
      </w:pPr>
      <w:r>
        <w:t>TPC-H 部分共建立 region、nation、supplier、part、partsupp、customer、orders、lineitem 八张表。V1 脚本按小写字段定义表结构，例如 orders.o_orderkey、orders.o_custkey、lineitem.l_orderkey 和 lineitem.l_linenumber 等字段；日期字段使用 date 类型，金额、价格、数量和折扣字段使用 numeric 类型。</w:t>
      </w:r>
    </w:p>
    <w:p w14:paraId="5D422360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4-1 TPC-H 核心表设计表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680B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4D5401E0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表名</w:t>
            </w:r>
          </w:p>
        </w:tc>
        <w:tc>
          <w:tcPr>
            <w:tcW w:w="2295" w:type="dxa"/>
            <w:vAlign w:val="center"/>
          </w:tcPr>
          <w:p w14:paraId="2AD8CCB6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主键</w:t>
            </w:r>
          </w:p>
        </w:tc>
        <w:tc>
          <w:tcPr>
            <w:tcW w:w="2295" w:type="dxa"/>
            <w:vAlign w:val="center"/>
          </w:tcPr>
          <w:p w14:paraId="5A322FE4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主要外键/关系</w:t>
            </w:r>
          </w:p>
        </w:tc>
        <w:tc>
          <w:tcPr>
            <w:tcW w:w="2294" w:type="dxa"/>
            <w:vAlign w:val="center"/>
          </w:tcPr>
          <w:p w14:paraId="52642C7F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设计说明</w:t>
            </w:r>
          </w:p>
        </w:tc>
      </w:tr>
      <w:tr w14:paraId="4333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2BF05EBE">
            <w:pPr>
              <w:spacing w:after="0"/>
            </w:pPr>
            <w:r>
              <w:rPr>
                <w:sz w:val="18"/>
              </w:rPr>
              <w:t>region</w:t>
            </w:r>
          </w:p>
        </w:tc>
        <w:tc>
          <w:tcPr>
            <w:tcW w:w="2295" w:type="dxa"/>
            <w:vAlign w:val="center"/>
          </w:tcPr>
          <w:p w14:paraId="3F6F624F">
            <w:pPr>
              <w:spacing w:after="0"/>
              <w:ind w:firstLine="0"/>
            </w:pPr>
            <w:r>
              <w:rPr>
                <w:sz w:val="18"/>
              </w:rPr>
              <w:t>r_regionkey</w:t>
            </w:r>
          </w:p>
        </w:tc>
        <w:tc>
          <w:tcPr>
            <w:tcW w:w="2295" w:type="dxa"/>
            <w:vAlign w:val="center"/>
          </w:tcPr>
          <w:p w14:paraId="2F1B4EE3">
            <w:pPr>
              <w:spacing w:after="0"/>
            </w:pPr>
            <w:r>
              <w:rPr>
                <w:sz w:val="18"/>
              </w:rPr>
              <w:t>无</w:t>
            </w:r>
          </w:p>
        </w:tc>
        <w:tc>
          <w:tcPr>
            <w:tcW w:w="2294" w:type="dxa"/>
            <w:vAlign w:val="center"/>
          </w:tcPr>
          <w:p w14:paraId="45AE1A4E">
            <w:pPr>
              <w:spacing w:after="0"/>
              <w:ind w:firstLine="0"/>
            </w:pPr>
            <w:r>
              <w:rPr>
                <w:sz w:val="18"/>
              </w:rPr>
              <w:t>区域维表，作为 nation 的上级区域</w:t>
            </w:r>
          </w:p>
        </w:tc>
      </w:tr>
      <w:tr w14:paraId="03BB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AF9AC0E">
            <w:pPr>
              <w:spacing w:after="0"/>
            </w:pPr>
            <w:r>
              <w:rPr>
                <w:sz w:val="18"/>
              </w:rPr>
              <w:t>nation</w:t>
            </w:r>
          </w:p>
        </w:tc>
        <w:tc>
          <w:tcPr>
            <w:tcW w:w="2295" w:type="dxa"/>
            <w:vAlign w:val="center"/>
          </w:tcPr>
          <w:p w14:paraId="174A7AC4">
            <w:pPr>
              <w:spacing w:after="0"/>
              <w:ind w:firstLine="0"/>
            </w:pPr>
            <w:r>
              <w:rPr>
                <w:sz w:val="18"/>
              </w:rPr>
              <w:t>n_nationkey</w:t>
            </w:r>
          </w:p>
        </w:tc>
        <w:tc>
          <w:tcPr>
            <w:tcW w:w="2295" w:type="dxa"/>
            <w:vAlign w:val="center"/>
          </w:tcPr>
          <w:p w14:paraId="1F547757">
            <w:pPr>
              <w:spacing w:after="0"/>
              <w:ind w:firstLine="0"/>
            </w:pPr>
            <w:r>
              <w:rPr>
                <w:sz w:val="18"/>
              </w:rPr>
              <w:t>n_regionkey → region</w:t>
            </w:r>
          </w:p>
        </w:tc>
        <w:tc>
          <w:tcPr>
            <w:tcW w:w="2294" w:type="dxa"/>
            <w:vAlign w:val="center"/>
          </w:tcPr>
          <w:p w14:paraId="0672F8AF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国家维表，连接客户、供应商和区域</w:t>
            </w:r>
          </w:p>
        </w:tc>
      </w:tr>
      <w:tr w14:paraId="2E2D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A1F257D">
            <w:pPr>
              <w:spacing w:after="0"/>
            </w:pPr>
            <w:r>
              <w:rPr>
                <w:sz w:val="18"/>
              </w:rPr>
              <w:t>supplier</w:t>
            </w:r>
          </w:p>
        </w:tc>
        <w:tc>
          <w:tcPr>
            <w:tcW w:w="2295" w:type="dxa"/>
            <w:vAlign w:val="center"/>
          </w:tcPr>
          <w:p w14:paraId="57EDFDA2">
            <w:pPr>
              <w:spacing w:after="0"/>
              <w:ind w:firstLine="0"/>
            </w:pPr>
            <w:r>
              <w:rPr>
                <w:sz w:val="18"/>
              </w:rPr>
              <w:t>s_suppkey</w:t>
            </w:r>
          </w:p>
        </w:tc>
        <w:tc>
          <w:tcPr>
            <w:tcW w:w="2295" w:type="dxa"/>
            <w:vAlign w:val="center"/>
          </w:tcPr>
          <w:p w14:paraId="602805CB">
            <w:pPr>
              <w:spacing w:after="0"/>
              <w:ind w:firstLine="0"/>
            </w:pPr>
            <w:r>
              <w:rPr>
                <w:sz w:val="18"/>
              </w:rPr>
              <w:t>s_nationkey → nation</w:t>
            </w:r>
          </w:p>
        </w:tc>
        <w:tc>
          <w:tcPr>
            <w:tcW w:w="2294" w:type="dxa"/>
            <w:vAlign w:val="center"/>
          </w:tcPr>
          <w:p w14:paraId="7A7323B2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供应商表，参与 Q5 地区收入分析</w:t>
            </w:r>
          </w:p>
        </w:tc>
      </w:tr>
      <w:tr w14:paraId="1128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BEA6997">
            <w:pPr>
              <w:spacing w:after="0"/>
            </w:pPr>
            <w:r>
              <w:rPr>
                <w:sz w:val="18"/>
              </w:rPr>
              <w:t>part</w:t>
            </w:r>
          </w:p>
        </w:tc>
        <w:tc>
          <w:tcPr>
            <w:tcW w:w="2295" w:type="dxa"/>
            <w:vAlign w:val="center"/>
          </w:tcPr>
          <w:p w14:paraId="0AE18FE3">
            <w:pPr>
              <w:spacing w:after="0"/>
              <w:ind w:firstLine="0"/>
            </w:pPr>
            <w:r>
              <w:rPr>
                <w:sz w:val="18"/>
              </w:rPr>
              <w:t>p_partkey</w:t>
            </w:r>
          </w:p>
        </w:tc>
        <w:tc>
          <w:tcPr>
            <w:tcW w:w="2295" w:type="dxa"/>
            <w:vAlign w:val="center"/>
          </w:tcPr>
          <w:p w14:paraId="0A59BCA1">
            <w:pPr>
              <w:spacing w:after="0"/>
            </w:pPr>
            <w:r>
              <w:rPr>
                <w:sz w:val="18"/>
              </w:rPr>
              <w:t>无</w:t>
            </w:r>
          </w:p>
        </w:tc>
        <w:tc>
          <w:tcPr>
            <w:tcW w:w="2294" w:type="dxa"/>
            <w:vAlign w:val="center"/>
          </w:tcPr>
          <w:p w14:paraId="2FA612B4">
            <w:pPr>
              <w:spacing w:after="0"/>
              <w:ind w:firstLine="0"/>
            </w:pPr>
            <w:r>
              <w:rPr>
                <w:sz w:val="18"/>
              </w:rPr>
              <w:t>零部件表，p_type 用于 Q14 促销收入判断</w:t>
            </w:r>
          </w:p>
        </w:tc>
      </w:tr>
      <w:tr w14:paraId="22FE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276CA29">
            <w:pPr>
              <w:spacing w:after="0"/>
            </w:pPr>
            <w:r>
              <w:rPr>
                <w:sz w:val="18"/>
              </w:rPr>
              <w:t>partsupp</w:t>
            </w:r>
          </w:p>
        </w:tc>
        <w:tc>
          <w:tcPr>
            <w:tcW w:w="2295" w:type="dxa"/>
            <w:vAlign w:val="center"/>
          </w:tcPr>
          <w:p w14:paraId="32365F89">
            <w:pPr>
              <w:spacing w:after="0"/>
              <w:ind w:firstLine="0"/>
            </w:pPr>
            <w:r>
              <w:rPr>
                <w:sz w:val="18"/>
              </w:rPr>
              <w:t>ps_partkey, ps_suppkey</w:t>
            </w:r>
          </w:p>
        </w:tc>
        <w:tc>
          <w:tcPr>
            <w:tcW w:w="2295" w:type="dxa"/>
            <w:vAlign w:val="center"/>
          </w:tcPr>
          <w:p w14:paraId="6AFBE009">
            <w:pPr>
              <w:spacing w:after="0"/>
              <w:ind w:firstLine="0"/>
            </w:pPr>
            <w:r>
              <w:rPr>
                <w:sz w:val="18"/>
              </w:rPr>
              <w:t>ps_partkey → part；ps_suppkey → supplier</w:t>
            </w:r>
          </w:p>
        </w:tc>
        <w:tc>
          <w:tcPr>
            <w:tcW w:w="2294" w:type="dxa"/>
            <w:vAlign w:val="center"/>
          </w:tcPr>
          <w:p w14:paraId="5BCEAE3B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零部件与供应商的多对多供应关系</w:t>
            </w:r>
          </w:p>
        </w:tc>
      </w:tr>
      <w:tr w14:paraId="0BD0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2B1A5627"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w="2295" w:type="dxa"/>
            <w:vAlign w:val="center"/>
          </w:tcPr>
          <w:p w14:paraId="2C67CE71">
            <w:pPr>
              <w:spacing w:after="0"/>
              <w:ind w:firstLine="0"/>
            </w:pPr>
            <w:r>
              <w:rPr>
                <w:sz w:val="18"/>
              </w:rPr>
              <w:t>c_custkey</w:t>
            </w:r>
          </w:p>
        </w:tc>
        <w:tc>
          <w:tcPr>
            <w:tcW w:w="2295" w:type="dxa"/>
            <w:vAlign w:val="center"/>
          </w:tcPr>
          <w:p w14:paraId="25678857">
            <w:pPr>
              <w:spacing w:after="0"/>
              <w:ind w:firstLine="0"/>
            </w:pPr>
            <w:r>
              <w:rPr>
                <w:sz w:val="18"/>
              </w:rPr>
              <w:t>c_nationkey → nation</w:t>
            </w:r>
          </w:p>
        </w:tc>
        <w:tc>
          <w:tcPr>
            <w:tcW w:w="2294" w:type="dxa"/>
            <w:vAlign w:val="center"/>
          </w:tcPr>
          <w:p w14:paraId="0FE6296E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客户表，连接订单和国家</w:t>
            </w:r>
          </w:p>
        </w:tc>
      </w:tr>
      <w:tr w14:paraId="1A0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4A872905">
            <w:pPr>
              <w:spacing w:after="0"/>
            </w:pPr>
            <w:r>
              <w:rPr>
                <w:sz w:val="18"/>
              </w:rPr>
              <w:t>orders</w:t>
            </w:r>
          </w:p>
        </w:tc>
        <w:tc>
          <w:tcPr>
            <w:tcW w:w="2295" w:type="dxa"/>
            <w:vAlign w:val="center"/>
          </w:tcPr>
          <w:p w14:paraId="3E3D88C5">
            <w:pPr>
              <w:spacing w:after="0"/>
              <w:ind w:firstLine="0"/>
            </w:pPr>
            <w:r>
              <w:rPr>
                <w:sz w:val="18"/>
              </w:rPr>
              <w:t>o_orderkey</w:t>
            </w:r>
          </w:p>
        </w:tc>
        <w:tc>
          <w:tcPr>
            <w:tcW w:w="2295" w:type="dxa"/>
            <w:vAlign w:val="center"/>
          </w:tcPr>
          <w:p w14:paraId="59B4D33E">
            <w:pPr>
              <w:spacing w:after="0"/>
              <w:ind w:firstLine="0"/>
            </w:pPr>
            <w:r>
              <w:rPr>
                <w:sz w:val="18"/>
              </w:rPr>
              <w:t>o_custkey → customer</w:t>
            </w:r>
          </w:p>
        </w:tc>
        <w:tc>
          <w:tcPr>
            <w:tcW w:w="2294" w:type="dxa"/>
            <w:vAlign w:val="center"/>
          </w:tcPr>
          <w:p w14:paraId="0918DE06">
            <w:pPr>
              <w:spacing w:after="0"/>
              <w:ind w:firstLine="0"/>
            </w:pPr>
            <w:r>
              <w:rPr>
                <w:sz w:val="18"/>
              </w:rPr>
              <w:t>订单表，o_orderdate 支撑日期范围查询</w:t>
            </w:r>
          </w:p>
        </w:tc>
      </w:tr>
      <w:tr w14:paraId="2EFA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64FE0AC">
            <w:pPr>
              <w:spacing w:after="0"/>
            </w:pPr>
            <w:r>
              <w:rPr>
                <w:sz w:val="18"/>
              </w:rPr>
              <w:t>lineitem</w:t>
            </w:r>
          </w:p>
        </w:tc>
        <w:tc>
          <w:tcPr>
            <w:tcW w:w="2295" w:type="dxa"/>
            <w:vAlign w:val="center"/>
          </w:tcPr>
          <w:p w14:paraId="116ADEE9">
            <w:pPr>
              <w:spacing w:after="0"/>
              <w:ind w:firstLine="0"/>
            </w:pPr>
            <w:r>
              <w:rPr>
                <w:sz w:val="18"/>
              </w:rPr>
              <w:t>l_orderkey, l_linenumber</w:t>
            </w:r>
          </w:p>
        </w:tc>
        <w:tc>
          <w:tcPr>
            <w:tcW w:w="2295" w:type="dxa"/>
            <w:vAlign w:val="center"/>
          </w:tcPr>
          <w:p w14:paraId="4BF63B81">
            <w:pPr>
              <w:spacing w:after="0"/>
              <w:ind w:firstLine="0"/>
            </w:pPr>
            <w:r>
              <w:rPr>
                <w:sz w:val="18"/>
              </w:rPr>
              <w:t>l_orderkey → orders；(l_partkey,l_suppkey) → partsupp</w:t>
            </w:r>
          </w:p>
        </w:tc>
        <w:tc>
          <w:tcPr>
            <w:tcW w:w="2294" w:type="dxa"/>
            <w:vAlign w:val="center"/>
          </w:tcPr>
          <w:p w14:paraId="405599CE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订单明细大表，是 Q1/Q5/Q12/Q14 的主要事实表</w:t>
            </w:r>
          </w:p>
        </w:tc>
      </w:tr>
    </w:tbl>
    <w:p w14:paraId="5579C0E3">
      <w:pPr>
        <w:pStyle w:val="5"/>
        <w:spacing w:before="160" w:after="80"/>
      </w:pPr>
      <w:bookmarkStart w:id="29" w:name="__RefHeading___Toc5825_2153205702"/>
      <w:bookmarkEnd w:id="29"/>
      <w:r>
        <w:rPr>
          <w:rFonts w:ascii="Times New Roman" w:hAnsi="Times New Roman" w:eastAsia="黑体"/>
        </w:rPr>
        <w:t>4.3.2 TPC-C 事务表设计</w:t>
      </w:r>
    </w:p>
    <w:p w14:paraId="3AE9A593">
      <w:pPr>
        <w:spacing w:after="0"/>
      </w:pPr>
      <w:r>
        <w:t>TPC-C 部分采用课程最小实现口径，只覆盖 New-Order 和 Payment 两个事务。为避免与 TPC-H 的 customer、orders 表冲突，客户和订单表命名为 tpcc_customer、tpcc_orders。stock 表有意省略标准 TPC-C 中的 s_dist_01 至 s_dist_10，order_line.ol_dist_info 由后端事务服务传入固定值或按 districtId 生成。</w:t>
      </w:r>
    </w:p>
    <w:p w14:paraId="3081BB77">
      <w:pPr>
        <w:spacing w:before="60" w:after="120"/>
        <w:jc w:val="center"/>
      </w:pPr>
      <w:r>
        <w:rPr>
          <w:sz w:val="21"/>
        </w:rPr>
        <w:t>表 4-2 TPC-C 事务表设计表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34EC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7C018D82">
            <w:pPr>
              <w:spacing w:after="0"/>
            </w:pPr>
            <w:r>
              <w:rPr>
                <w:rFonts w:eastAsia="黑体"/>
                <w:b/>
                <w:sz w:val="20"/>
              </w:rPr>
              <w:t>表名</w:t>
            </w:r>
          </w:p>
        </w:tc>
        <w:tc>
          <w:tcPr>
            <w:tcW w:w="2295" w:type="dxa"/>
            <w:vAlign w:val="center"/>
          </w:tcPr>
          <w:p w14:paraId="629EA6CA">
            <w:pPr>
              <w:spacing w:after="0"/>
            </w:pPr>
            <w:r>
              <w:rPr>
                <w:rFonts w:eastAsia="黑体"/>
                <w:b/>
                <w:sz w:val="20"/>
              </w:rPr>
              <w:t>主键</w:t>
            </w:r>
          </w:p>
        </w:tc>
        <w:tc>
          <w:tcPr>
            <w:tcW w:w="2295" w:type="dxa"/>
            <w:vAlign w:val="center"/>
          </w:tcPr>
          <w:p w14:paraId="7B71893E">
            <w:pPr>
              <w:spacing w:after="0"/>
            </w:pPr>
            <w:r>
              <w:rPr>
                <w:rFonts w:eastAsia="黑体"/>
                <w:b/>
                <w:sz w:val="20"/>
              </w:rPr>
              <w:t>主要关系</w:t>
            </w:r>
          </w:p>
        </w:tc>
        <w:tc>
          <w:tcPr>
            <w:tcW w:w="2294" w:type="dxa"/>
            <w:vAlign w:val="center"/>
          </w:tcPr>
          <w:p w14:paraId="4DAB0503">
            <w:pPr>
              <w:spacing w:after="0"/>
            </w:pPr>
            <w:r>
              <w:rPr>
                <w:rFonts w:eastAsia="黑体"/>
                <w:b/>
                <w:sz w:val="20"/>
              </w:rPr>
              <w:t>事务作用</w:t>
            </w:r>
          </w:p>
        </w:tc>
      </w:tr>
      <w:tr w14:paraId="6159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031118C">
            <w:pPr>
              <w:spacing w:after="0"/>
            </w:pPr>
            <w:r>
              <w:rPr>
                <w:sz w:val="18"/>
              </w:rPr>
              <w:t>warehouse</w:t>
            </w:r>
          </w:p>
        </w:tc>
        <w:tc>
          <w:tcPr>
            <w:tcW w:w="2295" w:type="dxa"/>
            <w:vAlign w:val="center"/>
          </w:tcPr>
          <w:p w14:paraId="557B0D3D">
            <w:pPr>
              <w:spacing w:after="0"/>
              <w:ind w:firstLine="0"/>
            </w:pPr>
            <w:r>
              <w:rPr>
                <w:sz w:val="18"/>
              </w:rPr>
              <w:t>w_id</w:t>
            </w:r>
          </w:p>
        </w:tc>
        <w:tc>
          <w:tcPr>
            <w:tcW w:w="2295" w:type="dxa"/>
            <w:vAlign w:val="center"/>
          </w:tcPr>
          <w:p w14:paraId="6CB7ADC8">
            <w:pPr>
              <w:spacing w:after="0"/>
              <w:ind w:firstLine="0"/>
            </w:pPr>
            <w:r>
              <w:rPr>
                <w:sz w:val="18"/>
              </w:rPr>
              <w:t>district.d_w_id → warehouse</w:t>
            </w:r>
          </w:p>
        </w:tc>
        <w:tc>
          <w:tcPr>
            <w:tcW w:w="2294" w:type="dxa"/>
            <w:vAlign w:val="center"/>
          </w:tcPr>
          <w:p w14:paraId="5D92BC94">
            <w:pPr>
              <w:spacing w:after="0"/>
              <w:ind w:firstLine="0"/>
            </w:pPr>
            <w:r>
              <w:rPr>
                <w:sz w:val="18"/>
              </w:rPr>
              <w:t>仓库基础信息，Payment 更新 w_ytd</w:t>
            </w:r>
          </w:p>
        </w:tc>
      </w:tr>
      <w:tr w14:paraId="2E59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C142588">
            <w:pPr>
              <w:spacing w:after="0"/>
            </w:pPr>
            <w:r>
              <w:rPr>
                <w:sz w:val="18"/>
              </w:rPr>
              <w:t>district</w:t>
            </w:r>
          </w:p>
        </w:tc>
        <w:tc>
          <w:tcPr>
            <w:tcW w:w="2295" w:type="dxa"/>
            <w:vAlign w:val="center"/>
          </w:tcPr>
          <w:p w14:paraId="6BF0A533">
            <w:pPr>
              <w:spacing w:after="0"/>
              <w:ind w:firstLine="0"/>
            </w:pPr>
            <w:r>
              <w:rPr>
                <w:sz w:val="18"/>
              </w:rPr>
              <w:t>d_w_id, d_id</w:t>
            </w:r>
          </w:p>
        </w:tc>
        <w:tc>
          <w:tcPr>
            <w:tcW w:w="2295" w:type="dxa"/>
            <w:vAlign w:val="center"/>
          </w:tcPr>
          <w:p w14:paraId="09FE8AB8">
            <w:pPr>
              <w:spacing w:after="0"/>
              <w:ind w:firstLine="0"/>
            </w:pPr>
            <w:r>
              <w:rPr>
                <w:sz w:val="18"/>
              </w:rPr>
              <w:t>属于 warehouse</w:t>
            </w:r>
          </w:p>
        </w:tc>
        <w:tc>
          <w:tcPr>
            <w:tcW w:w="2294" w:type="dxa"/>
            <w:vAlign w:val="center"/>
          </w:tcPr>
          <w:p w14:paraId="051C6B9F">
            <w:pPr>
              <w:spacing w:after="0"/>
              <w:ind w:firstLine="0"/>
            </w:pPr>
            <w:r>
              <w:rPr>
                <w:sz w:val="18"/>
              </w:rPr>
              <w:t>维护 d_next_o_id，New-Order 生成订单号</w:t>
            </w:r>
          </w:p>
        </w:tc>
      </w:tr>
      <w:tr w14:paraId="7286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56F3272">
            <w:pPr>
              <w:spacing w:after="0"/>
            </w:pPr>
            <w:r>
              <w:rPr>
                <w:sz w:val="18"/>
              </w:rPr>
              <w:t>tpcc_customer</w:t>
            </w:r>
          </w:p>
        </w:tc>
        <w:tc>
          <w:tcPr>
            <w:tcW w:w="2295" w:type="dxa"/>
            <w:vAlign w:val="center"/>
          </w:tcPr>
          <w:p w14:paraId="05EF1E21">
            <w:pPr>
              <w:spacing w:after="0"/>
              <w:ind w:firstLine="0"/>
            </w:pPr>
            <w:r>
              <w:rPr>
                <w:sz w:val="18"/>
              </w:rPr>
              <w:t>c_w_id, c_d_id, c_id</w:t>
            </w:r>
          </w:p>
        </w:tc>
        <w:tc>
          <w:tcPr>
            <w:tcW w:w="2295" w:type="dxa"/>
            <w:vAlign w:val="center"/>
          </w:tcPr>
          <w:p w14:paraId="41637BE1">
            <w:pPr>
              <w:spacing w:after="0"/>
              <w:ind w:firstLine="0"/>
            </w:pPr>
            <w:r>
              <w:rPr>
                <w:sz w:val="18"/>
              </w:rPr>
              <w:t>属于 district</w:t>
            </w:r>
          </w:p>
        </w:tc>
        <w:tc>
          <w:tcPr>
            <w:tcW w:w="2294" w:type="dxa"/>
            <w:vAlign w:val="center"/>
          </w:tcPr>
          <w:p w14:paraId="209440CE">
            <w:pPr>
              <w:spacing w:after="0"/>
              <w:ind w:firstLine="0"/>
            </w:pPr>
            <w:r>
              <w:rPr>
                <w:sz w:val="18"/>
              </w:rPr>
              <w:t>New-Order 读取折扣；Payment 更新余额和支付次数</w:t>
            </w:r>
          </w:p>
        </w:tc>
      </w:tr>
      <w:tr w14:paraId="3CED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B27C2C0">
            <w:pPr>
              <w:spacing w:after="0"/>
            </w:pPr>
            <w:r>
              <w:rPr>
                <w:sz w:val="18"/>
              </w:rPr>
              <w:t>item</w:t>
            </w:r>
          </w:p>
        </w:tc>
        <w:tc>
          <w:tcPr>
            <w:tcW w:w="2295" w:type="dxa"/>
            <w:vAlign w:val="center"/>
          </w:tcPr>
          <w:p w14:paraId="7F670F18">
            <w:pPr>
              <w:spacing w:after="0"/>
              <w:ind w:firstLine="0"/>
            </w:pPr>
            <w:r>
              <w:rPr>
                <w:sz w:val="18"/>
              </w:rPr>
              <w:t>i_id</w:t>
            </w:r>
          </w:p>
        </w:tc>
        <w:tc>
          <w:tcPr>
            <w:tcW w:w="2295" w:type="dxa"/>
            <w:vAlign w:val="center"/>
          </w:tcPr>
          <w:p w14:paraId="2FBB19A2">
            <w:pPr>
              <w:spacing w:after="0"/>
              <w:ind w:firstLine="0"/>
            </w:pPr>
            <w:r>
              <w:rPr>
                <w:sz w:val="18"/>
              </w:rPr>
              <w:t>stock.s_i_id → item</w:t>
            </w:r>
          </w:p>
        </w:tc>
        <w:tc>
          <w:tcPr>
            <w:tcW w:w="2294" w:type="dxa"/>
            <w:vAlign w:val="center"/>
          </w:tcPr>
          <w:p w14:paraId="37D336E4">
            <w:pPr>
              <w:spacing w:after="0"/>
              <w:ind w:firstLine="0"/>
            </w:pPr>
            <w:r>
              <w:rPr>
                <w:sz w:val="18"/>
              </w:rPr>
              <w:t>商品基础信息，提供 i_price</w:t>
            </w:r>
          </w:p>
        </w:tc>
      </w:tr>
      <w:tr w14:paraId="60C6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01C3001A">
            <w:pPr>
              <w:spacing w:after="0"/>
            </w:pPr>
            <w:r>
              <w:rPr>
                <w:sz w:val="18"/>
              </w:rPr>
              <w:t>stock</w:t>
            </w:r>
          </w:p>
        </w:tc>
        <w:tc>
          <w:tcPr>
            <w:tcW w:w="2295" w:type="dxa"/>
            <w:vAlign w:val="center"/>
          </w:tcPr>
          <w:p w14:paraId="30E7934D">
            <w:pPr>
              <w:spacing w:after="0"/>
              <w:ind w:firstLine="0"/>
            </w:pPr>
            <w:r>
              <w:rPr>
                <w:sz w:val="18"/>
              </w:rPr>
              <w:t>s_w_id, s_i_id</w:t>
            </w:r>
          </w:p>
        </w:tc>
        <w:tc>
          <w:tcPr>
            <w:tcW w:w="2295" w:type="dxa"/>
            <w:vAlign w:val="center"/>
          </w:tcPr>
          <w:p w14:paraId="3F0AD11C">
            <w:pPr>
              <w:spacing w:after="0"/>
              <w:ind w:firstLine="0"/>
            </w:pPr>
            <w:r>
              <w:rPr>
                <w:sz w:val="18"/>
              </w:rPr>
              <w:t>属于 warehouse 和 item</w:t>
            </w:r>
          </w:p>
        </w:tc>
        <w:tc>
          <w:tcPr>
            <w:tcW w:w="2294" w:type="dxa"/>
            <w:vAlign w:val="center"/>
          </w:tcPr>
          <w:p w14:paraId="1D04EB60">
            <w:pPr>
              <w:spacing w:after="0"/>
              <w:ind w:firstLine="0"/>
            </w:pPr>
            <w:r>
              <w:rPr>
                <w:sz w:val="18"/>
              </w:rPr>
              <w:t>New-Order 扣减库存并触发库存日志</w:t>
            </w:r>
          </w:p>
        </w:tc>
      </w:tr>
      <w:tr w14:paraId="4D70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CC0FF21">
            <w:pPr>
              <w:spacing w:after="0"/>
            </w:pPr>
            <w:r>
              <w:rPr>
                <w:sz w:val="18"/>
              </w:rPr>
              <w:t>tpcc_orders</w:t>
            </w:r>
          </w:p>
        </w:tc>
        <w:tc>
          <w:tcPr>
            <w:tcW w:w="2295" w:type="dxa"/>
            <w:vAlign w:val="center"/>
          </w:tcPr>
          <w:p w14:paraId="53086BC1">
            <w:pPr>
              <w:spacing w:after="0"/>
              <w:ind w:firstLine="0"/>
            </w:pPr>
            <w:r>
              <w:rPr>
                <w:sz w:val="18"/>
              </w:rPr>
              <w:t>o_w_id, o_d_id, o_id</w:t>
            </w:r>
          </w:p>
        </w:tc>
        <w:tc>
          <w:tcPr>
            <w:tcW w:w="2295" w:type="dxa"/>
            <w:vAlign w:val="center"/>
          </w:tcPr>
          <w:p w14:paraId="051AB1FE">
            <w:pPr>
              <w:spacing w:after="0"/>
              <w:ind w:firstLine="0"/>
            </w:pPr>
            <w:r>
              <w:rPr>
                <w:sz w:val="18"/>
              </w:rPr>
              <w:t>关联 district 和 tpcc_customer</w:t>
            </w:r>
          </w:p>
        </w:tc>
        <w:tc>
          <w:tcPr>
            <w:tcW w:w="2294" w:type="dxa"/>
            <w:vAlign w:val="center"/>
          </w:tcPr>
          <w:p w14:paraId="6C2B1FCF">
            <w:pPr>
              <w:spacing w:after="0"/>
              <w:ind w:firstLine="0"/>
            </w:pPr>
            <w:r>
              <w:rPr>
                <w:sz w:val="18"/>
              </w:rPr>
              <w:t>订单头表</w:t>
            </w:r>
          </w:p>
        </w:tc>
      </w:tr>
      <w:tr w14:paraId="1752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38B97B8">
            <w:pPr>
              <w:spacing w:after="0"/>
            </w:pPr>
            <w:r>
              <w:rPr>
                <w:sz w:val="18"/>
              </w:rPr>
              <w:t>new_order</w:t>
            </w:r>
          </w:p>
        </w:tc>
        <w:tc>
          <w:tcPr>
            <w:tcW w:w="2295" w:type="dxa"/>
            <w:vAlign w:val="center"/>
          </w:tcPr>
          <w:p w14:paraId="7D4867F9">
            <w:pPr>
              <w:spacing w:after="0"/>
              <w:ind w:firstLine="0"/>
            </w:pPr>
            <w:r>
              <w:rPr>
                <w:sz w:val="18"/>
              </w:rPr>
              <w:t>no_w_id, no_d_id, no_o_id</w:t>
            </w:r>
          </w:p>
        </w:tc>
        <w:tc>
          <w:tcPr>
            <w:tcW w:w="2295" w:type="dxa"/>
            <w:vAlign w:val="center"/>
          </w:tcPr>
          <w:p w14:paraId="5DC9BE81">
            <w:pPr>
              <w:spacing w:after="0"/>
              <w:ind w:firstLine="0"/>
            </w:pPr>
            <w:r>
              <w:rPr>
                <w:sz w:val="18"/>
              </w:rPr>
              <w:t>关联 tpcc_orders</w:t>
            </w:r>
          </w:p>
        </w:tc>
        <w:tc>
          <w:tcPr>
            <w:tcW w:w="2294" w:type="dxa"/>
            <w:vAlign w:val="center"/>
          </w:tcPr>
          <w:p w14:paraId="1F9E4F3B">
            <w:pPr>
              <w:spacing w:after="0"/>
              <w:ind w:firstLine="0"/>
            </w:pPr>
            <w:r>
              <w:rPr>
                <w:sz w:val="18"/>
              </w:rPr>
              <w:t>新订单标记表</w:t>
            </w:r>
          </w:p>
        </w:tc>
      </w:tr>
      <w:tr w14:paraId="5151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499F3F7F">
            <w:pPr>
              <w:spacing w:after="0"/>
            </w:pPr>
            <w:r>
              <w:rPr>
                <w:sz w:val="18"/>
              </w:rPr>
              <w:t>order_line</w:t>
            </w:r>
          </w:p>
        </w:tc>
        <w:tc>
          <w:tcPr>
            <w:tcW w:w="2295" w:type="dxa"/>
            <w:vAlign w:val="center"/>
          </w:tcPr>
          <w:p w14:paraId="7D53CAE4">
            <w:pPr>
              <w:spacing w:after="0"/>
              <w:ind w:firstLine="0"/>
            </w:pPr>
            <w:r>
              <w:rPr>
                <w:sz w:val="18"/>
              </w:rPr>
              <w:t>ol_w_id, ol_d_id, ol_o_id, ol_number</w:t>
            </w:r>
          </w:p>
        </w:tc>
        <w:tc>
          <w:tcPr>
            <w:tcW w:w="2295" w:type="dxa"/>
            <w:vAlign w:val="center"/>
          </w:tcPr>
          <w:p w14:paraId="129B9247">
            <w:pPr>
              <w:spacing w:after="0"/>
              <w:ind w:firstLine="0"/>
            </w:pPr>
            <w:r>
              <w:rPr>
                <w:sz w:val="18"/>
              </w:rPr>
              <w:t>关联 tpcc_orders 和 stock</w:t>
            </w:r>
          </w:p>
        </w:tc>
        <w:tc>
          <w:tcPr>
            <w:tcW w:w="2294" w:type="dxa"/>
            <w:vAlign w:val="center"/>
          </w:tcPr>
          <w:p w14:paraId="75477499">
            <w:pPr>
              <w:spacing w:after="0"/>
              <w:ind w:firstLine="0"/>
            </w:pPr>
            <w:r>
              <w:rPr>
                <w:sz w:val="18"/>
              </w:rPr>
              <w:t>订单明细表</w:t>
            </w:r>
          </w:p>
        </w:tc>
      </w:tr>
      <w:tr w14:paraId="2E96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2C2194D8">
            <w:pPr>
              <w:spacing w:after="0"/>
            </w:pPr>
            <w:r>
              <w:rPr>
                <w:sz w:val="18"/>
              </w:rPr>
              <w:t>history</w:t>
            </w:r>
          </w:p>
        </w:tc>
        <w:tc>
          <w:tcPr>
            <w:tcW w:w="2295" w:type="dxa"/>
            <w:vAlign w:val="center"/>
          </w:tcPr>
          <w:p w14:paraId="1F57DE44">
            <w:pPr>
              <w:spacing w:after="0"/>
              <w:ind w:firstLine="0"/>
            </w:pPr>
            <w:r>
              <w:rPr>
                <w:sz w:val="18"/>
              </w:rPr>
              <w:t>h_id</w:t>
            </w:r>
          </w:p>
        </w:tc>
        <w:tc>
          <w:tcPr>
            <w:tcW w:w="2295" w:type="dxa"/>
            <w:vAlign w:val="center"/>
          </w:tcPr>
          <w:p w14:paraId="08F6883C">
            <w:pPr>
              <w:spacing w:after="0"/>
              <w:ind w:firstLine="0"/>
            </w:pPr>
            <w:r>
              <w:rPr>
                <w:sz w:val="18"/>
              </w:rPr>
              <w:t>关联 customer 与 district</w:t>
            </w:r>
          </w:p>
        </w:tc>
        <w:tc>
          <w:tcPr>
            <w:tcW w:w="2294" w:type="dxa"/>
            <w:vAlign w:val="center"/>
          </w:tcPr>
          <w:p w14:paraId="74D51BBE">
            <w:pPr>
              <w:spacing w:after="0"/>
              <w:ind w:firstLine="0"/>
            </w:pPr>
            <w:r>
              <w:rPr>
                <w:sz w:val="18"/>
              </w:rPr>
              <w:t>Payment 支付历史表</w:t>
            </w:r>
          </w:p>
        </w:tc>
      </w:tr>
    </w:tbl>
    <w:p w14:paraId="551BB94D">
      <w:pPr>
        <w:pStyle w:val="5"/>
        <w:spacing w:before="160" w:after="80"/>
        <w:rPr>
          <w:rFonts w:hint="eastAsia"/>
          <w:lang w:eastAsia="zh-CN"/>
        </w:rPr>
      </w:pPr>
      <w:bookmarkStart w:id="30" w:name="__RefHeading___Toc5827_2153205702"/>
      <w:bookmarkEnd w:id="30"/>
      <w:r>
        <w:rPr>
          <w:rFonts w:ascii="Times New Roman" w:hAnsi="Times New Roman" w:eastAsia="黑体"/>
        </w:rPr>
        <w:t>4.3.3 应用辅助表设计</w:t>
      </w:r>
    </w:p>
    <w:p w14:paraId="23A0A088">
      <w:pPr>
        <w:spacing w:after="0"/>
        <w:rPr>
          <w:lang w:eastAsia="zh-CN"/>
        </w:rPr>
      </w:pPr>
      <w:r>
        <w:rPr>
          <w:lang w:eastAsia="zh-CN"/>
        </w:rPr>
        <w:t>应用辅助表用于支撑 Web 系统运行、导入清洗、日志审计和性能展示。数据库与 SQL 模块定义表结构和完整性约束，后端服务模块提供数据写入与查询接口，前端与可视化模块负责结果展示，部署与性能测试模块归档正式实验数据。</w:t>
      </w:r>
    </w:p>
    <w:p w14:paraId="643B47E9">
      <w:pPr>
        <w:spacing w:before="60" w:after="120"/>
        <w:jc w:val="center"/>
      </w:pPr>
      <w:r>
        <w:rPr>
          <w:sz w:val="21"/>
        </w:rPr>
        <w:t>表 4-3 应用辅助表设计表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17C7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060" w:type="dxa"/>
            <w:vAlign w:val="center"/>
          </w:tcPr>
          <w:p w14:paraId="5142B2ED">
            <w:pPr>
              <w:spacing w:after="0"/>
            </w:pPr>
            <w:r>
              <w:rPr>
                <w:rFonts w:eastAsia="黑体"/>
                <w:b/>
                <w:sz w:val="20"/>
              </w:rPr>
              <w:t>表名</w:t>
            </w:r>
          </w:p>
        </w:tc>
        <w:tc>
          <w:tcPr>
            <w:tcW w:w="3060" w:type="dxa"/>
            <w:vAlign w:val="center"/>
          </w:tcPr>
          <w:p w14:paraId="06D6FC8D">
            <w:pPr>
              <w:spacing w:after="0"/>
            </w:pPr>
            <w:r>
              <w:rPr>
                <w:rFonts w:eastAsia="黑体"/>
                <w:b/>
                <w:sz w:val="20"/>
              </w:rPr>
              <w:t>核心字段</w:t>
            </w:r>
          </w:p>
        </w:tc>
        <w:tc>
          <w:tcPr>
            <w:tcW w:w="3060" w:type="dxa"/>
            <w:vAlign w:val="center"/>
          </w:tcPr>
          <w:p w14:paraId="00A36785">
            <w:pPr>
              <w:spacing w:after="0"/>
            </w:pPr>
            <w:r>
              <w:rPr>
                <w:rFonts w:eastAsia="黑体"/>
                <w:b/>
                <w:sz w:val="20"/>
              </w:rPr>
              <w:t>用途</w:t>
            </w:r>
          </w:p>
        </w:tc>
      </w:tr>
      <w:tr w14:paraId="77DDA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4C144478">
            <w:pPr>
              <w:spacing w:after="0"/>
            </w:pPr>
            <w:r>
              <w:rPr>
                <w:sz w:val="18"/>
              </w:rPr>
              <w:t>app_user</w:t>
            </w:r>
          </w:p>
        </w:tc>
        <w:tc>
          <w:tcPr>
            <w:tcW w:w="3060" w:type="dxa"/>
            <w:vAlign w:val="center"/>
          </w:tcPr>
          <w:p w14:paraId="4093850D">
            <w:pPr>
              <w:spacing w:after="0"/>
              <w:ind w:firstLine="0"/>
            </w:pPr>
            <w:r>
              <w:rPr>
                <w:sz w:val="18"/>
              </w:rPr>
              <w:t>user_id, username, password_hash, role, status</w:t>
            </w:r>
          </w:p>
        </w:tc>
        <w:tc>
          <w:tcPr>
            <w:tcW w:w="3060" w:type="dxa"/>
            <w:vAlign w:val="center"/>
          </w:tcPr>
          <w:p w14:paraId="76641099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用户登录、角色和审批状态</w:t>
            </w:r>
          </w:p>
        </w:tc>
      </w:tr>
      <w:tr w14:paraId="2A18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D1D83EE">
            <w:pPr>
              <w:spacing w:after="0"/>
            </w:pPr>
            <w:r>
              <w:rPr>
                <w:sz w:val="18"/>
              </w:rPr>
              <w:t>import_task</w:t>
            </w:r>
          </w:p>
        </w:tc>
        <w:tc>
          <w:tcPr>
            <w:tcW w:w="3060" w:type="dxa"/>
            <w:vAlign w:val="center"/>
          </w:tcPr>
          <w:p w14:paraId="405AFC48">
            <w:pPr>
              <w:spacing w:after="0"/>
              <w:ind w:firstLine="0"/>
            </w:pPr>
            <w:r>
              <w:rPr>
                <w:sz w:val="18"/>
              </w:rPr>
              <w:t>task_id, table_name, status, total_rows, success_rows, failed_rows</w:t>
            </w:r>
          </w:p>
        </w:tc>
        <w:tc>
          <w:tcPr>
            <w:tcW w:w="3060" w:type="dxa"/>
            <w:vAlign w:val="center"/>
          </w:tcPr>
          <w:p w14:paraId="7D8D202F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记录系统演示导入任务</w:t>
            </w:r>
          </w:p>
        </w:tc>
      </w:tr>
      <w:tr w14:paraId="7DA5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C56383D">
            <w:pPr>
              <w:spacing w:after="0"/>
            </w:pPr>
            <w:r>
              <w:rPr>
                <w:sz w:val="18"/>
              </w:rPr>
              <w:t>import_error_log</w:t>
            </w:r>
          </w:p>
        </w:tc>
        <w:tc>
          <w:tcPr>
            <w:tcW w:w="3060" w:type="dxa"/>
            <w:vAlign w:val="center"/>
          </w:tcPr>
          <w:p w14:paraId="62B828AA">
            <w:pPr>
              <w:spacing w:after="0"/>
              <w:ind w:firstLine="0"/>
            </w:pPr>
            <w:r>
              <w:rPr>
                <w:sz w:val="18"/>
              </w:rPr>
              <w:t>error_id, task_id, line_number, field_name, field_value, error_reason</w:t>
            </w:r>
          </w:p>
        </w:tc>
        <w:tc>
          <w:tcPr>
            <w:tcW w:w="3060" w:type="dxa"/>
            <w:vAlign w:val="center"/>
          </w:tcPr>
          <w:p w14:paraId="4DFCFDEA">
            <w:pPr>
              <w:spacing w:after="0"/>
              <w:ind w:firstLine="0"/>
            </w:pPr>
            <w:r>
              <w:rPr>
                <w:sz w:val="18"/>
              </w:rPr>
              <w:t>记录导入清洗失败行</w:t>
            </w:r>
          </w:p>
        </w:tc>
      </w:tr>
      <w:tr w14:paraId="51EF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5D9D5EED">
            <w:pPr>
              <w:spacing w:after="0"/>
            </w:pPr>
            <w:r>
              <w:rPr>
                <w:sz w:val="18"/>
              </w:rPr>
              <w:t>query_log</w:t>
            </w:r>
          </w:p>
        </w:tc>
        <w:tc>
          <w:tcPr>
            <w:tcW w:w="3060" w:type="dxa"/>
            <w:vAlign w:val="center"/>
          </w:tcPr>
          <w:p w14:paraId="794F8A87">
            <w:pPr>
              <w:spacing w:after="0"/>
              <w:ind w:firstLine="0"/>
            </w:pPr>
            <w:r>
              <w:rPr>
                <w:sz w:val="18"/>
              </w:rPr>
              <w:t>query_name, query_params, elapsed_ms, row_count, executed_by</w:t>
            </w:r>
          </w:p>
        </w:tc>
        <w:tc>
          <w:tcPr>
            <w:tcW w:w="3060" w:type="dxa"/>
            <w:vAlign w:val="center"/>
          </w:tcPr>
          <w:p w14:paraId="7B82547A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 TPC-H 和业务查询执行情况</w:t>
            </w:r>
          </w:p>
        </w:tc>
      </w:tr>
      <w:tr w14:paraId="4B2F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74DFA0F2">
            <w:pPr>
              <w:spacing w:after="0"/>
            </w:pPr>
            <w:r>
              <w:rPr>
                <w:sz w:val="18"/>
              </w:rPr>
              <w:t>transaction_log</w:t>
            </w:r>
          </w:p>
        </w:tc>
        <w:tc>
          <w:tcPr>
            <w:tcW w:w="3060" w:type="dxa"/>
            <w:vAlign w:val="center"/>
          </w:tcPr>
          <w:p w14:paraId="422E51C2">
            <w:pPr>
              <w:spacing w:after="0"/>
              <w:ind w:firstLine="0"/>
            </w:pPr>
            <w:r>
              <w:rPr>
                <w:sz w:val="18"/>
              </w:rPr>
              <w:t>transaction_id, transaction_type, status, elapsed_ms, error_message</w:t>
            </w:r>
          </w:p>
        </w:tc>
        <w:tc>
          <w:tcPr>
            <w:tcW w:w="3060" w:type="dxa"/>
            <w:vAlign w:val="center"/>
          </w:tcPr>
          <w:p w14:paraId="06036469">
            <w:pPr>
              <w:spacing w:after="0"/>
              <w:ind w:firstLine="0"/>
            </w:pPr>
            <w:r>
              <w:rPr>
                <w:sz w:val="18"/>
              </w:rPr>
              <w:t>记录 New-Order 与 Payment 事务结果</w:t>
            </w:r>
          </w:p>
        </w:tc>
      </w:tr>
      <w:tr w14:paraId="0539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008AB24B">
            <w:pPr>
              <w:spacing w:after="0"/>
            </w:pPr>
            <w:r>
              <w:rPr>
                <w:sz w:val="18"/>
              </w:rPr>
              <w:t>performance_result</w:t>
            </w:r>
          </w:p>
        </w:tc>
        <w:tc>
          <w:tcPr>
            <w:tcW w:w="3060" w:type="dxa"/>
            <w:vAlign w:val="center"/>
          </w:tcPr>
          <w:p w14:paraId="63E6A031">
            <w:pPr>
              <w:spacing w:after="0"/>
              <w:ind w:firstLine="0"/>
            </w:pPr>
            <w:r>
              <w:rPr>
                <w:sz w:val="18"/>
              </w:rPr>
              <w:t>test_type, thread_count, avg_latency_ms, throughput</w:t>
            </w:r>
          </w:p>
        </w:tc>
        <w:tc>
          <w:tcPr>
            <w:tcW w:w="3060" w:type="dxa"/>
            <w:vAlign w:val="center"/>
          </w:tcPr>
          <w:p w14:paraId="219C5371">
            <w:pPr>
              <w:spacing w:after="0"/>
              <w:ind w:firstLine="0"/>
            </w:pPr>
            <w:r>
              <w:rPr>
                <w:sz w:val="18"/>
              </w:rPr>
              <w:t>保存性能测试结果</w:t>
            </w:r>
          </w:p>
        </w:tc>
      </w:tr>
      <w:tr w14:paraId="2836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60" w:type="dxa"/>
            <w:vAlign w:val="center"/>
          </w:tcPr>
          <w:p w14:paraId="1784743B">
            <w:pPr>
              <w:spacing w:after="0"/>
            </w:pPr>
            <w:r>
              <w:rPr>
                <w:sz w:val="18"/>
              </w:rPr>
              <w:t>stock_change_log</w:t>
            </w:r>
          </w:p>
        </w:tc>
        <w:tc>
          <w:tcPr>
            <w:tcW w:w="3060" w:type="dxa"/>
            <w:vAlign w:val="center"/>
          </w:tcPr>
          <w:p w14:paraId="4F6BC1F1">
            <w:pPr>
              <w:spacing w:after="0"/>
              <w:ind w:firstLine="0"/>
            </w:pPr>
            <w:r>
              <w:rPr>
                <w:sz w:val="18"/>
              </w:rPr>
              <w:t>warehouse_id, item_id, old_quantity, new_quantity, change_quantity</w:t>
            </w:r>
          </w:p>
        </w:tc>
        <w:tc>
          <w:tcPr>
            <w:tcW w:w="3060" w:type="dxa"/>
            <w:vAlign w:val="center"/>
          </w:tcPr>
          <w:p w14:paraId="73FC1177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记录库存变动触发器审计日志</w:t>
            </w:r>
          </w:p>
        </w:tc>
      </w:tr>
    </w:tbl>
    <w:p w14:paraId="5FB041BA">
      <w:pPr>
        <w:pStyle w:val="4"/>
        <w:spacing w:before="200"/>
        <w:rPr>
          <w:lang w:eastAsia="zh-CN"/>
        </w:rPr>
      </w:pPr>
      <w:bookmarkStart w:id="31" w:name="__RefHeading___Toc5829_2153205702"/>
      <w:bookmarkEnd w:id="31"/>
      <w:r>
        <w:rPr>
          <w:rFonts w:ascii="Times New Roman" w:hAnsi="Times New Roman" w:eastAsia="黑体"/>
          <w:lang w:eastAsia="zh-CN"/>
        </w:rPr>
        <w:t>4.4 数据完整性约束设计</w:t>
      </w:r>
    </w:p>
    <w:p w14:paraId="07D66985">
      <w:pPr>
        <w:spacing w:after="0"/>
        <w:rPr>
          <w:lang w:eastAsia="zh-CN"/>
        </w:rPr>
      </w:pPr>
      <w:r>
        <w:rPr>
          <w:lang w:eastAsia="zh-CN"/>
        </w:rPr>
        <w:t>完整性约束由 V4__add_constraints.sql 统一维护。该脚本通过辅助函数检查 pg_constraint 中是否已存在同名约束，重复执行时自动跳过已有对象，既便于本地调试，也便于在正式数据导入后补加约束。大规模数据导入时先执行 V1/V2/V3 建表，完成 TPC-H 数据 COPY 后再执行 V4，可避免外键校验影响批量导入效率。</w:t>
      </w:r>
    </w:p>
    <w:p w14:paraId="479ACAD7">
      <w:pPr>
        <w:jc w:val="center"/>
      </w:pPr>
      <w:r>
        <w:drawing>
          <wp:inline distT="0" distB="0" distL="0" distR="0">
            <wp:extent cx="5440680" cy="4504055"/>
            <wp:effectExtent l="0" t="0" r="0" b="0"/>
            <wp:docPr id="12" name="Picture 30" descr="完整性约束由 V4__add_constraints.sql 统一维护。该脚本通过辅助函数检查 pg_constraint 中是否已存在同名约束，重复执行时自动跳过已有对象，既便于本地调试，也便于在正式数据导入后补加约束。大规模数据导入时先执行 V1/V2/V3 建表，完成 TPC-H 数据 COPY 后再执行 V4，可避免外键校验影响批量导入效率。" title="完整性约束由 V4__add_constraints.sql 统一维护。该脚本通过辅助函数检查 pg_constraint 中是否已存在同名约束，重复执行时自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0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46470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4-4 V4 幂等约束添加代码片段</w:t>
      </w:r>
    </w:p>
    <w:p w14:paraId="5E6DD75B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4-4 数据完整性约束设计表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3AC9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36EBA084">
            <w:pPr>
              <w:spacing w:after="0"/>
            </w:pPr>
            <w:r>
              <w:rPr>
                <w:rFonts w:eastAsia="黑体"/>
                <w:b/>
                <w:sz w:val="20"/>
              </w:rPr>
              <w:t>约束类型</w:t>
            </w:r>
          </w:p>
        </w:tc>
        <w:tc>
          <w:tcPr>
            <w:tcW w:w="2295" w:type="dxa"/>
            <w:vAlign w:val="center"/>
          </w:tcPr>
          <w:p w14:paraId="0879B55C">
            <w:pPr>
              <w:spacing w:after="0"/>
            </w:pPr>
            <w:r>
              <w:rPr>
                <w:rFonts w:eastAsia="黑体"/>
                <w:b/>
                <w:sz w:val="20"/>
              </w:rPr>
              <w:t>设计对象</w:t>
            </w:r>
          </w:p>
        </w:tc>
        <w:tc>
          <w:tcPr>
            <w:tcW w:w="2295" w:type="dxa"/>
            <w:vAlign w:val="center"/>
          </w:tcPr>
          <w:p w14:paraId="402F2FE3">
            <w:pPr>
              <w:spacing w:after="0"/>
            </w:pPr>
            <w:r>
              <w:rPr>
                <w:rFonts w:eastAsia="黑体"/>
                <w:b/>
                <w:sz w:val="20"/>
              </w:rPr>
              <w:t>示例</w:t>
            </w:r>
          </w:p>
        </w:tc>
        <w:tc>
          <w:tcPr>
            <w:tcW w:w="2294" w:type="dxa"/>
            <w:vAlign w:val="center"/>
          </w:tcPr>
          <w:p w14:paraId="6D4CEA68">
            <w:pPr>
              <w:spacing w:after="0"/>
            </w:pPr>
            <w:r>
              <w:rPr>
                <w:rFonts w:eastAsia="黑体"/>
                <w:b/>
                <w:sz w:val="20"/>
              </w:rPr>
              <w:t>作用</w:t>
            </w:r>
          </w:p>
        </w:tc>
      </w:tr>
      <w:tr w14:paraId="33BB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3488B53">
            <w:pPr>
              <w:spacing w:after="0"/>
            </w:pPr>
            <w:r>
              <w:rPr>
                <w:sz w:val="18"/>
              </w:rPr>
              <w:t>主键约束</w:t>
            </w:r>
          </w:p>
        </w:tc>
        <w:tc>
          <w:tcPr>
            <w:tcW w:w="2295" w:type="dxa"/>
            <w:vAlign w:val="center"/>
          </w:tcPr>
          <w:p w14:paraId="7115CF35">
            <w:pPr>
              <w:spacing w:after="0"/>
              <w:ind w:firstLine="0"/>
            </w:pPr>
            <w:r>
              <w:rPr>
                <w:sz w:val="18"/>
              </w:rPr>
              <w:t>TPC-H/TPC-C/应用辅助表</w:t>
            </w:r>
          </w:p>
        </w:tc>
        <w:tc>
          <w:tcPr>
            <w:tcW w:w="2295" w:type="dxa"/>
            <w:vAlign w:val="center"/>
          </w:tcPr>
          <w:p w14:paraId="6CBB1F35">
            <w:pPr>
              <w:spacing w:after="0"/>
              <w:ind w:firstLine="0"/>
            </w:pPr>
            <w:r>
              <w:rPr>
                <w:sz w:val="18"/>
              </w:rPr>
              <w:t>pk_orders, pk_lineitem, pk_tpcc_customer</w:t>
            </w:r>
          </w:p>
        </w:tc>
        <w:tc>
          <w:tcPr>
            <w:tcW w:w="2294" w:type="dxa"/>
            <w:vAlign w:val="center"/>
          </w:tcPr>
          <w:p w14:paraId="61A9374D">
            <w:pPr>
              <w:spacing w:after="0"/>
              <w:ind w:firstLine="0"/>
            </w:pPr>
            <w:r>
              <w:rPr>
                <w:sz w:val="18"/>
              </w:rPr>
              <w:t>保证实体唯一性</w:t>
            </w:r>
          </w:p>
        </w:tc>
      </w:tr>
      <w:tr w14:paraId="3A3C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A2AB574">
            <w:pPr>
              <w:spacing w:after="0"/>
            </w:pPr>
            <w:r>
              <w:rPr>
                <w:sz w:val="18"/>
              </w:rPr>
              <w:t>外键约束</w:t>
            </w:r>
          </w:p>
        </w:tc>
        <w:tc>
          <w:tcPr>
            <w:tcW w:w="2295" w:type="dxa"/>
            <w:vAlign w:val="center"/>
          </w:tcPr>
          <w:p w14:paraId="137FFB7C">
            <w:pPr>
              <w:spacing w:after="0"/>
              <w:ind w:firstLine="0"/>
            </w:pPr>
            <w:r>
              <w:rPr>
                <w:sz w:val="18"/>
              </w:rPr>
              <w:t>表间引用关系</w:t>
            </w:r>
          </w:p>
        </w:tc>
        <w:tc>
          <w:tcPr>
            <w:tcW w:w="2295" w:type="dxa"/>
            <w:vAlign w:val="center"/>
          </w:tcPr>
          <w:p w14:paraId="2FDF7D71">
            <w:pPr>
              <w:spacing w:after="0"/>
              <w:ind w:firstLine="0"/>
            </w:pPr>
            <w:r>
              <w:rPr>
                <w:sz w:val="18"/>
              </w:rPr>
              <w:t>fk_lineitem_orders, fk_customer_nation, fk_stock_item</w:t>
            </w:r>
          </w:p>
        </w:tc>
        <w:tc>
          <w:tcPr>
            <w:tcW w:w="2294" w:type="dxa"/>
            <w:vAlign w:val="center"/>
          </w:tcPr>
          <w:p w14:paraId="2BDC3723">
            <w:pPr>
              <w:spacing w:after="0"/>
              <w:ind w:firstLine="0"/>
            </w:pPr>
            <w:r>
              <w:rPr>
                <w:sz w:val="18"/>
              </w:rPr>
              <w:t>保证引用完整性</w:t>
            </w:r>
          </w:p>
        </w:tc>
      </w:tr>
      <w:tr w14:paraId="2000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2AEA013D">
            <w:pPr>
              <w:spacing w:after="0"/>
            </w:pPr>
            <w:r>
              <w:rPr>
                <w:sz w:val="18"/>
              </w:rPr>
              <w:t>CHECK 约束</w:t>
            </w:r>
          </w:p>
        </w:tc>
        <w:tc>
          <w:tcPr>
            <w:tcW w:w="2295" w:type="dxa"/>
            <w:vAlign w:val="center"/>
          </w:tcPr>
          <w:p w14:paraId="6E3E433F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金额、数量、状态、枚举</w:t>
            </w:r>
          </w:p>
        </w:tc>
        <w:tc>
          <w:tcPr>
            <w:tcW w:w="2295" w:type="dxa"/>
            <w:vAlign w:val="center"/>
          </w:tcPr>
          <w:p w14:paraId="65A6A9AB">
            <w:pPr>
              <w:spacing w:after="0"/>
              <w:ind w:firstLine="0"/>
            </w:pPr>
            <w:r>
              <w:rPr>
                <w:sz w:val="18"/>
              </w:rPr>
              <w:t>ck_lineitem_discount_range, ck_app_user_status_valid</w:t>
            </w:r>
          </w:p>
        </w:tc>
        <w:tc>
          <w:tcPr>
            <w:tcW w:w="2294" w:type="dxa"/>
            <w:vAlign w:val="center"/>
          </w:tcPr>
          <w:p w14:paraId="45C7E09C">
            <w:pPr>
              <w:spacing w:after="0"/>
              <w:ind w:firstLine="0"/>
            </w:pPr>
            <w:r>
              <w:rPr>
                <w:sz w:val="18"/>
              </w:rPr>
              <w:t>限制业务取值范围</w:t>
            </w:r>
          </w:p>
        </w:tc>
      </w:tr>
      <w:tr w14:paraId="5319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0F5539E">
            <w:pPr>
              <w:spacing w:after="0"/>
            </w:pPr>
            <w:r>
              <w:rPr>
                <w:sz w:val="18"/>
              </w:rPr>
              <w:t>唯一约束</w:t>
            </w:r>
          </w:p>
        </w:tc>
        <w:tc>
          <w:tcPr>
            <w:tcW w:w="2295" w:type="dxa"/>
            <w:vAlign w:val="center"/>
          </w:tcPr>
          <w:p w14:paraId="6E95AADD">
            <w:pPr>
              <w:spacing w:after="0"/>
              <w:ind w:firstLine="0"/>
            </w:pPr>
            <w:r>
              <w:rPr>
                <w:sz w:val="18"/>
              </w:rPr>
              <w:t>用户名、事务编号</w:t>
            </w:r>
          </w:p>
        </w:tc>
        <w:tc>
          <w:tcPr>
            <w:tcW w:w="2295" w:type="dxa"/>
            <w:vAlign w:val="center"/>
          </w:tcPr>
          <w:p w14:paraId="7EC8D1A6">
            <w:pPr>
              <w:spacing w:after="0"/>
              <w:ind w:firstLine="0"/>
            </w:pPr>
            <w:r>
              <w:rPr>
                <w:sz w:val="18"/>
              </w:rPr>
              <w:t>uk_app_user_username, uk_transaction_log_transaction_id</w:t>
            </w:r>
          </w:p>
        </w:tc>
        <w:tc>
          <w:tcPr>
            <w:tcW w:w="2294" w:type="dxa"/>
            <w:vAlign w:val="center"/>
          </w:tcPr>
          <w:p w14:paraId="791FC6C3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防止重复用户和重复事务编号</w:t>
            </w:r>
          </w:p>
        </w:tc>
      </w:tr>
      <w:tr w14:paraId="3D2D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03C587BC">
            <w:pPr>
              <w:spacing w:after="0"/>
            </w:pPr>
            <w:r>
              <w:rPr>
                <w:sz w:val="18"/>
              </w:rPr>
              <w:t>默认值</w:t>
            </w:r>
          </w:p>
        </w:tc>
        <w:tc>
          <w:tcPr>
            <w:tcW w:w="2295" w:type="dxa"/>
            <w:vAlign w:val="center"/>
          </w:tcPr>
          <w:p w14:paraId="4BF4E6A7">
            <w:pPr>
              <w:spacing w:after="0"/>
              <w:ind w:firstLine="0"/>
            </w:pPr>
            <w:r>
              <w:rPr>
                <w:sz w:val="18"/>
              </w:rPr>
              <w:t>状态、时间、计数</w:t>
            </w:r>
          </w:p>
        </w:tc>
        <w:tc>
          <w:tcPr>
            <w:tcW w:w="2295" w:type="dxa"/>
            <w:vAlign w:val="center"/>
          </w:tcPr>
          <w:p w14:paraId="0D4166B8">
            <w:pPr>
              <w:spacing w:after="0"/>
              <w:ind w:firstLine="0"/>
            </w:pPr>
            <w:r>
              <w:rPr>
                <w:sz w:val="18"/>
              </w:rPr>
              <w:t>status 默认 pending，created_at 默认 current_timestamp</w:t>
            </w:r>
          </w:p>
        </w:tc>
        <w:tc>
          <w:tcPr>
            <w:tcW w:w="2294" w:type="dxa"/>
            <w:vAlign w:val="center"/>
          </w:tcPr>
          <w:p w14:paraId="210E505A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减少应用层初始化负担</w:t>
            </w:r>
          </w:p>
        </w:tc>
      </w:tr>
    </w:tbl>
    <w:p w14:paraId="0CEF5F0E">
      <w:pPr>
        <w:pStyle w:val="4"/>
        <w:spacing w:before="200"/>
        <w:rPr>
          <w:lang w:eastAsia="zh-CN"/>
        </w:rPr>
      </w:pPr>
      <w:bookmarkStart w:id="32" w:name="__RefHeading___Toc5831_2153205702"/>
      <w:bookmarkEnd w:id="32"/>
      <w:r>
        <w:rPr>
          <w:rFonts w:ascii="Times New Roman" w:hAnsi="Times New Roman" w:eastAsia="黑体"/>
          <w:lang w:eastAsia="zh-CN"/>
        </w:rPr>
        <w:t>4.5 函数、触发器与存储过程设计</w:t>
      </w:r>
    </w:p>
    <w:p w14:paraId="561E5674">
      <w:pPr>
        <w:spacing w:after="0"/>
        <w:rPr>
          <w:lang w:eastAsia="zh-CN"/>
        </w:rPr>
      </w:pPr>
      <w:r>
        <w:rPr>
          <w:lang w:eastAsia="zh-CN"/>
        </w:rPr>
        <w:t>数据库层实现了两个触发器和两个可调用存储例程。库存变动触发器用于记录 New-Order 扣减库存时的审计信息；导入任务触发器用于自动维护 started_at 和 ended_at。两个存储例程分别封装 Q5 地区收入统计和 Q12 运送方式优先级统计，便于报告展示数据库侧计算能力。</w:t>
      </w:r>
    </w:p>
    <w:p w14:paraId="64E78D16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4-5 触发器与存储过程设计表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06B2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221C62E1">
            <w:pPr>
              <w:spacing w:after="0"/>
              <w:ind w:firstLine="0"/>
            </w:pPr>
            <w:r>
              <w:rPr>
                <w:rFonts w:eastAsia="黑体"/>
                <w:b/>
                <w:sz w:val="20"/>
              </w:rPr>
              <w:t>对象名称</w:t>
            </w:r>
          </w:p>
        </w:tc>
        <w:tc>
          <w:tcPr>
            <w:tcW w:w="2295" w:type="dxa"/>
            <w:vAlign w:val="center"/>
          </w:tcPr>
          <w:p w14:paraId="360A1C11">
            <w:pPr>
              <w:spacing w:after="0"/>
              <w:ind w:firstLine="0"/>
            </w:pPr>
            <w:r>
              <w:rPr>
                <w:rFonts w:eastAsia="黑体"/>
                <w:b/>
                <w:sz w:val="20"/>
              </w:rPr>
              <w:t>类型</w:t>
            </w:r>
          </w:p>
        </w:tc>
        <w:tc>
          <w:tcPr>
            <w:tcW w:w="2295" w:type="dxa"/>
            <w:vAlign w:val="center"/>
          </w:tcPr>
          <w:p w14:paraId="3CE39935">
            <w:pPr>
              <w:spacing w:after="0"/>
              <w:ind w:firstLine="0"/>
            </w:pPr>
            <w:r>
              <w:rPr>
                <w:rFonts w:eastAsia="黑体"/>
                <w:b/>
                <w:sz w:val="20"/>
              </w:rPr>
              <w:t>绑定对象/输入参数</w:t>
            </w:r>
          </w:p>
        </w:tc>
        <w:tc>
          <w:tcPr>
            <w:tcW w:w="2294" w:type="dxa"/>
            <w:vAlign w:val="center"/>
          </w:tcPr>
          <w:p w14:paraId="027968B7">
            <w:pPr>
              <w:spacing w:after="0"/>
            </w:pPr>
            <w:r>
              <w:rPr>
                <w:rFonts w:eastAsia="黑体"/>
                <w:b/>
                <w:sz w:val="20"/>
              </w:rPr>
              <w:t>功能说明</w:t>
            </w:r>
          </w:p>
        </w:tc>
      </w:tr>
      <w:tr w14:paraId="106E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69C4926">
            <w:pPr>
              <w:spacing w:after="0"/>
              <w:ind w:firstLine="0"/>
            </w:pPr>
            <w:r>
              <w:rPr>
                <w:sz w:val="18"/>
              </w:rPr>
              <w:t>trg_stock_quantity_change</w:t>
            </w:r>
          </w:p>
        </w:tc>
        <w:tc>
          <w:tcPr>
            <w:tcW w:w="2295" w:type="dxa"/>
            <w:vAlign w:val="center"/>
          </w:tcPr>
          <w:p w14:paraId="04AEFA62">
            <w:pPr>
              <w:spacing w:after="0"/>
              <w:ind w:firstLine="0"/>
            </w:pPr>
            <w:r>
              <w:rPr>
                <w:sz w:val="18"/>
              </w:rPr>
              <w:t>触发器</w:t>
            </w:r>
          </w:p>
        </w:tc>
        <w:tc>
          <w:tcPr>
            <w:tcW w:w="2295" w:type="dxa"/>
            <w:vAlign w:val="center"/>
          </w:tcPr>
          <w:p w14:paraId="47C8460C">
            <w:pPr>
              <w:spacing w:after="0"/>
              <w:ind w:firstLine="0"/>
            </w:pPr>
            <w:r>
              <w:rPr>
                <w:sz w:val="18"/>
              </w:rPr>
              <w:t>stock.s_quantity UPDATE</w:t>
            </w:r>
          </w:p>
        </w:tc>
        <w:tc>
          <w:tcPr>
            <w:tcW w:w="2294" w:type="dxa"/>
            <w:vAlign w:val="center"/>
          </w:tcPr>
          <w:p w14:paraId="693424A5">
            <w:pPr>
              <w:spacing w:after="0"/>
              <w:ind w:firstLine="0"/>
            </w:pPr>
            <w:r>
              <w:rPr>
                <w:sz w:val="18"/>
              </w:rPr>
              <w:t>库存数量变化时写入 stock_change_log</w:t>
            </w:r>
          </w:p>
        </w:tc>
      </w:tr>
      <w:tr w14:paraId="1307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01104ADB">
            <w:pPr>
              <w:spacing w:after="0"/>
              <w:ind w:firstLine="0"/>
            </w:pPr>
            <w:r>
              <w:rPr>
                <w:sz w:val="18"/>
              </w:rPr>
              <w:t>trg_import_task_audit</w:t>
            </w:r>
          </w:p>
        </w:tc>
        <w:tc>
          <w:tcPr>
            <w:tcW w:w="2295" w:type="dxa"/>
            <w:vAlign w:val="center"/>
          </w:tcPr>
          <w:p w14:paraId="6914720C">
            <w:pPr>
              <w:spacing w:after="0"/>
              <w:ind w:firstLine="0"/>
            </w:pPr>
            <w:r>
              <w:rPr>
                <w:sz w:val="18"/>
              </w:rPr>
              <w:t>触发器</w:t>
            </w:r>
          </w:p>
        </w:tc>
        <w:tc>
          <w:tcPr>
            <w:tcW w:w="2295" w:type="dxa"/>
            <w:vAlign w:val="center"/>
          </w:tcPr>
          <w:p w14:paraId="506822EE">
            <w:pPr>
              <w:spacing w:after="0"/>
              <w:ind w:firstLine="0"/>
            </w:pPr>
            <w:r>
              <w:rPr>
                <w:sz w:val="18"/>
              </w:rPr>
              <w:t>import_task.status INSERT/UPDATE</w:t>
            </w:r>
          </w:p>
        </w:tc>
        <w:tc>
          <w:tcPr>
            <w:tcW w:w="2294" w:type="dxa"/>
            <w:vAlign w:val="center"/>
          </w:tcPr>
          <w:p w14:paraId="4610F155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导入任务状态变化时自动补全开始/结束时间</w:t>
            </w:r>
          </w:p>
        </w:tc>
      </w:tr>
      <w:tr w14:paraId="30B1D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3820090">
            <w:pPr>
              <w:spacing w:after="0"/>
              <w:ind w:firstLine="0"/>
            </w:pPr>
            <w:r>
              <w:rPr>
                <w:sz w:val="18"/>
              </w:rPr>
              <w:t>sp_analyze_region_revenue</w:t>
            </w:r>
          </w:p>
        </w:tc>
        <w:tc>
          <w:tcPr>
            <w:tcW w:w="2295" w:type="dxa"/>
            <w:vAlign w:val="center"/>
          </w:tcPr>
          <w:p w14:paraId="7D5C4E9A">
            <w:pPr>
              <w:spacing w:after="0"/>
              <w:ind w:firstLine="0"/>
            </w:pPr>
            <w:r>
              <w:rPr>
                <w:sz w:val="18"/>
              </w:rPr>
              <w:t>存储例程</w:t>
            </w:r>
          </w:p>
        </w:tc>
        <w:tc>
          <w:tcPr>
            <w:tcW w:w="2295" w:type="dxa"/>
            <w:vAlign w:val="center"/>
          </w:tcPr>
          <w:p w14:paraId="59407649">
            <w:pPr>
              <w:spacing w:after="0"/>
              <w:ind w:firstLine="0"/>
            </w:pPr>
            <w:r>
              <w:rPr>
                <w:sz w:val="18"/>
              </w:rPr>
              <w:t>regionName, startDate, endDate</w:t>
            </w:r>
          </w:p>
        </w:tc>
        <w:tc>
          <w:tcPr>
            <w:tcW w:w="2294" w:type="dxa"/>
            <w:vAlign w:val="center"/>
          </w:tcPr>
          <w:p w14:paraId="1906B09A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按国家统计指定区域的收入，服务 Q5</w:t>
            </w:r>
          </w:p>
        </w:tc>
      </w:tr>
      <w:tr w14:paraId="30FA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1402915">
            <w:pPr>
              <w:spacing w:after="0"/>
              <w:ind w:firstLine="0"/>
            </w:pPr>
            <w:r>
              <w:rPr>
                <w:sz w:val="18"/>
              </w:rPr>
              <w:t>sp_analyze_shipping_priority</w:t>
            </w:r>
          </w:p>
        </w:tc>
        <w:tc>
          <w:tcPr>
            <w:tcW w:w="2295" w:type="dxa"/>
            <w:vAlign w:val="center"/>
          </w:tcPr>
          <w:p w14:paraId="0574DBB5">
            <w:pPr>
              <w:spacing w:after="0"/>
              <w:ind w:firstLine="0"/>
            </w:pPr>
            <w:r>
              <w:rPr>
                <w:sz w:val="18"/>
              </w:rPr>
              <w:t>存储例程</w:t>
            </w:r>
          </w:p>
        </w:tc>
        <w:tc>
          <w:tcPr>
            <w:tcW w:w="2295" w:type="dxa"/>
            <w:vAlign w:val="center"/>
          </w:tcPr>
          <w:p w14:paraId="6F1D5065">
            <w:pPr>
              <w:spacing w:after="0"/>
              <w:ind w:firstLine="0"/>
            </w:pPr>
            <w:r>
              <w:rPr>
                <w:sz w:val="18"/>
              </w:rPr>
              <w:t>shipMode1, shipMode2, startDate, endDate</w:t>
            </w:r>
          </w:p>
        </w:tc>
        <w:tc>
          <w:tcPr>
            <w:tcW w:w="2294" w:type="dxa"/>
            <w:vAlign w:val="center"/>
          </w:tcPr>
          <w:p w14:paraId="52A221E2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统计运送方式下高/低优先级订单数量，服务 Q12</w:t>
            </w:r>
          </w:p>
        </w:tc>
      </w:tr>
    </w:tbl>
    <w:p w14:paraId="202CAE7F">
      <w:pPr>
        <w:pStyle w:val="4"/>
        <w:spacing w:before="200"/>
        <w:rPr>
          <w:lang w:eastAsia="zh-CN"/>
        </w:rPr>
      </w:pPr>
      <w:bookmarkStart w:id="33" w:name="__RefHeading___Toc5833_2153205702"/>
      <w:bookmarkEnd w:id="33"/>
      <w:r>
        <w:rPr>
          <w:rFonts w:ascii="Times New Roman" w:hAnsi="Times New Roman" w:eastAsia="黑体"/>
          <w:lang w:eastAsia="zh-CN"/>
        </w:rPr>
        <w:t>4.6 索引设计</w:t>
      </w:r>
    </w:p>
    <w:p w14:paraId="6D2F040B">
      <w:pPr>
        <w:spacing w:after="0"/>
        <w:rPr>
          <w:lang w:eastAsia="zh-CN"/>
        </w:rPr>
      </w:pPr>
      <w:r>
        <w:rPr>
          <w:lang w:eastAsia="zh-CN"/>
        </w:rPr>
        <w:t>索引设计遵循“面向明确查询、控制维护成本”的原则。数据库与 SQL 模块提供基线索引，部署与性能测试模块在正式数据上开展无索引与有索引对比。大表索引在 COPY 导入和约束校验后创建，以降低批量写入阶段的维护开销。</w:t>
      </w:r>
    </w:p>
    <w:p w14:paraId="3FBB05E5">
      <w:pPr>
        <w:jc w:val="center"/>
      </w:pPr>
      <w:r>
        <w:drawing>
          <wp:inline distT="0" distB="0" distL="0" distR="0">
            <wp:extent cx="5394960" cy="2482850"/>
            <wp:effectExtent l="0" t="0" r="0" b="0"/>
            <wp:docPr id="13" name="Picture 31" descr="索引设计遵循“面向明确查询、控制维护成本”的原则。数据库与 SQL 模块提供基线索引，部署与性能测试模块在正式数据上开展无索引与有索引对比。大表索引在 COPY 导入和约束校验后创建，以降低批量写入阶段的维护开销。" title="索引设计遵循“面向明确查询、控制维护成本”的原则。数据库与 SQL 模块提供基线索引，部署与性能测试模块在正式数据上开展无索引与有索引对比。大表索引在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DEB40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4-5 存储过程、触发器函数与索引对象验证图</w:t>
      </w:r>
    </w:p>
    <w:p w14:paraId="5096AD8C">
      <w:pPr>
        <w:spacing w:before="60" w:after="120"/>
        <w:jc w:val="center"/>
      </w:pPr>
      <w:r>
        <w:rPr>
          <w:sz w:val="21"/>
        </w:rPr>
        <w:t>表 4-6 索引设计表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2047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3F8CAFA6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索引名称</w:t>
            </w:r>
          </w:p>
        </w:tc>
        <w:tc>
          <w:tcPr>
            <w:tcW w:w="2295" w:type="dxa"/>
            <w:vAlign w:val="center"/>
          </w:tcPr>
          <w:p w14:paraId="133B3A57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字段</w:t>
            </w:r>
          </w:p>
        </w:tc>
        <w:tc>
          <w:tcPr>
            <w:tcW w:w="2295" w:type="dxa"/>
            <w:vAlign w:val="center"/>
          </w:tcPr>
          <w:p w14:paraId="6239D693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服务对象</w:t>
            </w:r>
          </w:p>
        </w:tc>
        <w:tc>
          <w:tcPr>
            <w:tcW w:w="2294" w:type="dxa"/>
            <w:vAlign w:val="center"/>
          </w:tcPr>
          <w:p w14:paraId="5FE99D5E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设计理由</w:t>
            </w:r>
          </w:p>
        </w:tc>
      </w:tr>
      <w:tr w14:paraId="7935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F350349">
            <w:pPr>
              <w:spacing w:after="0"/>
              <w:ind w:firstLine="0"/>
            </w:pPr>
            <w:r>
              <w:rPr>
                <w:sz w:val="18"/>
              </w:rPr>
              <w:t>idx_lineitem_returnflag_linestatus</w:t>
            </w:r>
          </w:p>
        </w:tc>
        <w:tc>
          <w:tcPr>
            <w:tcW w:w="2295" w:type="dxa"/>
            <w:vAlign w:val="center"/>
          </w:tcPr>
          <w:p w14:paraId="0FCBF2BF">
            <w:pPr>
              <w:spacing w:after="0"/>
              <w:ind w:firstLine="0"/>
            </w:pPr>
            <w:r>
              <w:rPr>
                <w:sz w:val="18"/>
              </w:rPr>
              <w:t>lineitem(l_returnflag,l_linestatus)</w:t>
            </w:r>
          </w:p>
        </w:tc>
        <w:tc>
          <w:tcPr>
            <w:tcW w:w="2295" w:type="dxa"/>
            <w:vAlign w:val="center"/>
          </w:tcPr>
          <w:p w14:paraId="1E2C3A18">
            <w:pPr>
              <w:spacing w:after="0"/>
              <w:ind w:firstLine="0"/>
            </w:pPr>
            <w:r>
              <w:rPr>
                <w:sz w:val="18"/>
              </w:rPr>
              <w:t>Q1</w:t>
            </w:r>
          </w:p>
        </w:tc>
        <w:tc>
          <w:tcPr>
            <w:tcW w:w="2294" w:type="dxa"/>
            <w:vAlign w:val="center"/>
          </w:tcPr>
          <w:p w14:paraId="21BD60BF">
            <w:pPr>
              <w:spacing w:after="0"/>
              <w:ind w:firstLine="0"/>
            </w:pPr>
            <w:r>
              <w:rPr>
                <w:sz w:val="18"/>
              </w:rPr>
              <w:t>服务分组与排序字段</w:t>
            </w:r>
          </w:p>
        </w:tc>
      </w:tr>
      <w:tr w14:paraId="77E1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08B67C6B">
            <w:pPr>
              <w:spacing w:after="0"/>
              <w:ind w:firstLine="0"/>
            </w:pPr>
            <w:r>
              <w:rPr>
                <w:sz w:val="18"/>
              </w:rPr>
              <w:t>idx_orders_orderdate</w:t>
            </w:r>
          </w:p>
        </w:tc>
        <w:tc>
          <w:tcPr>
            <w:tcW w:w="2295" w:type="dxa"/>
            <w:vAlign w:val="center"/>
          </w:tcPr>
          <w:p w14:paraId="5BCFC98B">
            <w:pPr>
              <w:spacing w:after="0"/>
              <w:ind w:firstLine="0"/>
            </w:pPr>
            <w:r>
              <w:rPr>
                <w:sz w:val="18"/>
              </w:rPr>
              <w:t>orders(o_orderdate)</w:t>
            </w:r>
          </w:p>
        </w:tc>
        <w:tc>
          <w:tcPr>
            <w:tcW w:w="2295" w:type="dxa"/>
            <w:vAlign w:val="center"/>
          </w:tcPr>
          <w:p w14:paraId="4D73CDEF">
            <w:pPr>
              <w:spacing w:after="0"/>
              <w:ind w:firstLine="0"/>
            </w:pPr>
            <w:r>
              <w:rPr>
                <w:sz w:val="18"/>
              </w:rPr>
              <w:t>Q5、订单收入查询</w:t>
            </w:r>
          </w:p>
        </w:tc>
        <w:tc>
          <w:tcPr>
            <w:tcW w:w="2294" w:type="dxa"/>
            <w:vAlign w:val="center"/>
          </w:tcPr>
          <w:p w14:paraId="6EB02E00">
            <w:pPr>
              <w:spacing w:after="0"/>
              <w:ind w:firstLine="0"/>
            </w:pPr>
            <w:r>
              <w:rPr>
                <w:sz w:val="18"/>
              </w:rPr>
              <w:t>服务日期范围过滤</w:t>
            </w:r>
          </w:p>
        </w:tc>
      </w:tr>
      <w:tr w14:paraId="73CE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28402444">
            <w:pPr>
              <w:spacing w:after="0"/>
              <w:ind w:firstLine="0"/>
            </w:pPr>
            <w:r>
              <w:rPr>
                <w:sz w:val="18"/>
              </w:rPr>
              <w:t>idx_orders_custkey</w:t>
            </w:r>
          </w:p>
        </w:tc>
        <w:tc>
          <w:tcPr>
            <w:tcW w:w="2295" w:type="dxa"/>
            <w:vAlign w:val="center"/>
          </w:tcPr>
          <w:p w14:paraId="3FBBF9FA">
            <w:pPr>
              <w:spacing w:after="0"/>
              <w:ind w:firstLine="0"/>
            </w:pPr>
            <w:r>
              <w:rPr>
                <w:sz w:val="18"/>
              </w:rPr>
              <w:t>orders(o_custkey)</w:t>
            </w:r>
          </w:p>
        </w:tc>
        <w:tc>
          <w:tcPr>
            <w:tcW w:w="2295" w:type="dxa"/>
            <w:vAlign w:val="center"/>
          </w:tcPr>
          <w:p w14:paraId="2971CB48">
            <w:pPr>
              <w:spacing w:after="0"/>
              <w:ind w:firstLine="0"/>
            </w:pPr>
            <w:r>
              <w:rPr>
                <w:sz w:val="18"/>
              </w:rPr>
              <w:t>Q5、客户订单查询</w:t>
            </w:r>
          </w:p>
        </w:tc>
        <w:tc>
          <w:tcPr>
            <w:tcW w:w="2294" w:type="dxa"/>
            <w:vAlign w:val="center"/>
          </w:tcPr>
          <w:p w14:paraId="0D904C5F">
            <w:pPr>
              <w:spacing w:after="0"/>
              <w:ind w:firstLine="0"/>
            </w:pPr>
            <w:r>
              <w:rPr>
                <w:sz w:val="18"/>
              </w:rPr>
              <w:t>服务 orders 与 customer 连接</w:t>
            </w:r>
          </w:p>
        </w:tc>
      </w:tr>
      <w:tr w14:paraId="42A8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5789F1C">
            <w:pPr>
              <w:spacing w:after="0"/>
              <w:ind w:firstLine="0"/>
            </w:pPr>
            <w:r>
              <w:rPr>
                <w:sz w:val="18"/>
              </w:rPr>
              <w:t>idx_lineitem_orderkey</w:t>
            </w:r>
          </w:p>
        </w:tc>
        <w:tc>
          <w:tcPr>
            <w:tcW w:w="2295" w:type="dxa"/>
            <w:vAlign w:val="center"/>
          </w:tcPr>
          <w:p w14:paraId="0F7CC56C">
            <w:pPr>
              <w:spacing w:after="0"/>
              <w:ind w:firstLine="0"/>
            </w:pPr>
            <w:r>
              <w:rPr>
                <w:sz w:val="18"/>
              </w:rPr>
              <w:t>lineitem(l_orderkey)</w:t>
            </w:r>
          </w:p>
        </w:tc>
        <w:tc>
          <w:tcPr>
            <w:tcW w:w="2295" w:type="dxa"/>
            <w:vAlign w:val="center"/>
          </w:tcPr>
          <w:p w14:paraId="40AE8851">
            <w:pPr>
              <w:spacing w:after="0"/>
              <w:ind w:firstLine="0"/>
            </w:pPr>
            <w:r>
              <w:rPr>
                <w:sz w:val="18"/>
              </w:rPr>
              <w:t>Q5/Q12/业务查询</w:t>
            </w:r>
          </w:p>
        </w:tc>
        <w:tc>
          <w:tcPr>
            <w:tcW w:w="2294" w:type="dxa"/>
            <w:vAlign w:val="center"/>
          </w:tcPr>
          <w:p w14:paraId="02B05B3A">
            <w:pPr>
              <w:spacing w:after="0"/>
              <w:ind w:firstLine="0"/>
            </w:pPr>
            <w:r>
              <w:rPr>
                <w:sz w:val="18"/>
              </w:rPr>
              <w:t>服务 lineitem 与 orders 连接</w:t>
            </w:r>
          </w:p>
        </w:tc>
      </w:tr>
      <w:tr w14:paraId="154F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5F7D5EB">
            <w:pPr>
              <w:spacing w:after="0"/>
              <w:ind w:firstLine="0"/>
            </w:pPr>
            <w:r>
              <w:rPr>
                <w:sz w:val="18"/>
              </w:rPr>
              <w:t>idx_lineitem_shipdate</w:t>
            </w:r>
          </w:p>
        </w:tc>
        <w:tc>
          <w:tcPr>
            <w:tcW w:w="2295" w:type="dxa"/>
            <w:vAlign w:val="center"/>
          </w:tcPr>
          <w:p w14:paraId="1FD671C3">
            <w:pPr>
              <w:spacing w:after="0"/>
              <w:ind w:firstLine="0"/>
            </w:pPr>
            <w:r>
              <w:rPr>
                <w:sz w:val="18"/>
              </w:rPr>
              <w:t>lineitem(l_shipdate)</w:t>
            </w:r>
          </w:p>
        </w:tc>
        <w:tc>
          <w:tcPr>
            <w:tcW w:w="2295" w:type="dxa"/>
            <w:vAlign w:val="center"/>
          </w:tcPr>
          <w:p w14:paraId="00D71412">
            <w:pPr>
              <w:spacing w:after="0"/>
              <w:ind w:firstLine="0"/>
            </w:pPr>
            <w:r>
              <w:rPr>
                <w:sz w:val="18"/>
              </w:rPr>
              <w:t>Q1/Q14</w:t>
            </w:r>
          </w:p>
        </w:tc>
        <w:tc>
          <w:tcPr>
            <w:tcW w:w="2294" w:type="dxa"/>
            <w:vAlign w:val="center"/>
          </w:tcPr>
          <w:p w14:paraId="56299BED">
            <w:pPr>
              <w:spacing w:after="0"/>
              <w:ind w:firstLine="0"/>
            </w:pPr>
            <w:r>
              <w:rPr>
                <w:sz w:val="18"/>
              </w:rPr>
              <w:t>服务发货日期过滤</w:t>
            </w:r>
          </w:p>
        </w:tc>
      </w:tr>
      <w:tr w14:paraId="06FF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0564609">
            <w:pPr>
              <w:spacing w:after="0"/>
              <w:ind w:firstLine="0"/>
            </w:pPr>
            <w:r>
              <w:rPr>
                <w:sz w:val="18"/>
              </w:rPr>
              <w:t>idx_lineitem_shipmode_receiptdate</w:t>
            </w:r>
          </w:p>
        </w:tc>
        <w:tc>
          <w:tcPr>
            <w:tcW w:w="2295" w:type="dxa"/>
            <w:vAlign w:val="center"/>
          </w:tcPr>
          <w:p w14:paraId="78C993C5">
            <w:pPr>
              <w:spacing w:after="0"/>
              <w:ind w:firstLine="0"/>
            </w:pPr>
            <w:r>
              <w:rPr>
                <w:sz w:val="18"/>
              </w:rPr>
              <w:t>lineitem(l_shipmode,l_receiptdate)</w:t>
            </w:r>
          </w:p>
        </w:tc>
        <w:tc>
          <w:tcPr>
            <w:tcW w:w="2295" w:type="dxa"/>
            <w:vAlign w:val="center"/>
          </w:tcPr>
          <w:p w14:paraId="6836D7DD">
            <w:pPr>
              <w:spacing w:after="0"/>
              <w:ind w:firstLine="0"/>
            </w:pPr>
            <w:r>
              <w:rPr>
                <w:sz w:val="18"/>
              </w:rPr>
              <w:t>Q12</w:t>
            </w:r>
          </w:p>
        </w:tc>
        <w:tc>
          <w:tcPr>
            <w:tcW w:w="2294" w:type="dxa"/>
            <w:vAlign w:val="center"/>
          </w:tcPr>
          <w:p w14:paraId="1B041753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服务运输方式和收货日期组合过滤</w:t>
            </w:r>
          </w:p>
        </w:tc>
      </w:tr>
      <w:tr w14:paraId="7AEC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26D5AE1">
            <w:pPr>
              <w:spacing w:after="0"/>
              <w:ind w:firstLine="0"/>
            </w:pPr>
            <w:r>
              <w:rPr>
                <w:sz w:val="18"/>
              </w:rPr>
              <w:t>idx_customer_nationkey</w:t>
            </w:r>
          </w:p>
        </w:tc>
        <w:tc>
          <w:tcPr>
            <w:tcW w:w="2295" w:type="dxa"/>
            <w:vAlign w:val="center"/>
          </w:tcPr>
          <w:p w14:paraId="08442695">
            <w:pPr>
              <w:spacing w:after="0"/>
              <w:ind w:firstLine="0"/>
            </w:pPr>
            <w:r>
              <w:rPr>
                <w:sz w:val="18"/>
              </w:rPr>
              <w:t>customer(c_nationkey)</w:t>
            </w:r>
          </w:p>
        </w:tc>
        <w:tc>
          <w:tcPr>
            <w:tcW w:w="2295" w:type="dxa"/>
            <w:vAlign w:val="center"/>
          </w:tcPr>
          <w:p w14:paraId="3988E87D">
            <w:pPr>
              <w:spacing w:after="0"/>
              <w:ind w:firstLine="0"/>
            </w:pPr>
            <w:r>
              <w:rPr>
                <w:sz w:val="18"/>
              </w:rPr>
              <w:t>Q5</w:t>
            </w:r>
          </w:p>
        </w:tc>
        <w:tc>
          <w:tcPr>
            <w:tcW w:w="2294" w:type="dxa"/>
            <w:vAlign w:val="center"/>
          </w:tcPr>
          <w:p w14:paraId="544BCC64">
            <w:pPr>
              <w:spacing w:after="0"/>
              <w:ind w:firstLine="0"/>
            </w:pPr>
            <w:r>
              <w:rPr>
                <w:sz w:val="18"/>
              </w:rPr>
              <w:t>服务 customer 与 nation 连接</w:t>
            </w:r>
          </w:p>
        </w:tc>
      </w:tr>
      <w:tr w14:paraId="3E49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E9A72B9">
            <w:pPr>
              <w:spacing w:after="0"/>
              <w:ind w:firstLine="0"/>
            </w:pPr>
            <w:r>
              <w:rPr>
                <w:sz w:val="18"/>
              </w:rPr>
              <w:t>idx_supplier_nationkey</w:t>
            </w:r>
          </w:p>
        </w:tc>
        <w:tc>
          <w:tcPr>
            <w:tcW w:w="2295" w:type="dxa"/>
            <w:vAlign w:val="center"/>
          </w:tcPr>
          <w:p w14:paraId="3630103B">
            <w:pPr>
              <w:spacing w:after="0"/>
              <w:ind w:firstLine="0"/>
            </w:pPr>
            <w:r>
              <w:rPr>
                <w:sz w:val="18"/>
              </w:rPr>
              <w:t>supplier(s_nationkey)</w:t>
            </w:r>
          </w:p>
        </w:tc>
        <w:tc>
          <w:tcPr>
            <w:tcW w:w="2295" w:type="dxa"/>
            <w:vAlign w:val="center"/>
          </w:tcPr>
          <w:p w14:paraId="6CEB65FF">
            <w:pPr>
              <w:spacing w:after="0"/>
              <w:ind w:firstLine="0"/>
            </w:pPr>
            <w:r>
              <w:rPr>
                <w:sz w:val="18"/>
              </w:rPr>
              <w:t>Q5</w:t>
            </w:r>
          </w:p>
        </w:tc>
        <w:tc>
          <w:tcPr>
            <w:tcW w:w="2294" w:type="dxa"/>
            <w:vAlign w:val="center"/>
          </w:tcPr>
          <w:p w14:paraId="1DB4DB2E">
            <w:pPr>
              <w:spacing w:after="0"/>
              <w:ind w:firstLine="0"/>
            </w:pPr>
            <w:r>
              <w:rPr>
                <w:sz w:val="18"/>
              </w:rPr>
              <w:t>服务 supplier 与 nation 连接</w:t>
            </w:r>
          </w:p>
        </w:tc>
      </w:tr>
      <w:tr w14:paraId="25A9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7FB27E8">
            <w:pPr>
              <w:spacing w:after="0"/>
              <w:ind w:firstLine="0"/>
            </w:pPr>
            <w:r>
              <w:rPr>
                <w:sz w:val="18"/>
              </w:rPr>
              <w:t>idx_transaction_log_type_time</w:t>
            </w:r>
          </w:p>
        </w:tc>
        <w:tc>
          <w:tcPr>
            <w:tcW w:w="2295" w:type="dxa"/>
            <w:vAlign w:val="center"/>
          </w:tcPr>
          <w:p w14:paraId="19369C51">
            <w:pPr>
              <w:spacing w:after="0"/>
              <w:ind w:firstLine="0"/>
            </w:pPr>
            <w:r>
              <w:rPr>
                <w:sz w:val="18"/>
              </w:rPr>
              <w:t>transaction_log(transaction_type,executed_at)</w:t>
            </w:r>
          </w:p>
        </w:tc>
        <w:tc>
          <w:tcPr>
            <w:tcW w:w="2295" w:type="dxa"/>
            <w:vAlign w:val="center"/>
          </w:tcPr>
          <w:p w14:paraId="5F178945">
            <w:pPr>
              <w:spacing w:after="0"/>
              <w:ind w:firstLine="0"/>
            </w:pPr>
            <w:r>
              <w:rPr>
                <w:sz w:val="18"/>
              </w:rPr>
              <w:t>事务日志页面</w:t>
            </w:r>
          </w:p>
        </w:tc>
        <w:tc>
          <w:tcPr>
            <w:tcW w:w="2294" w:type="dxa"/>
            <w:vAlign w:val="center"/>
          </w:tcPr>
          <w:p w14:paraId="24F9FE99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服务按事务类型和时间查询</w:t>
            </w:r>
          </w:p>
        </w:tc>
      </w:tr>
      <w:tr w14:paraId="46F7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60A2E358">
            <w:pPr>
              <w:spacing w:after="0"/>
              <w:ind w:firstLine="0"/>
            </w:pPr>
            <w:r>
              <w:rPr>
                <w:sz w:val="18"/>
              </w:rPr>
              <w:t>idx_stock_change_log_item_time</w:t>
            </w:r>
          </w:p>
        </w:tc>
        <w:tc>
          <w:tcPr>
            <w:tcW w:w="2295" w:type="dxa"/>
            <w:vAlign w:val="center"/>
          </w:tcPr>
          <w:p w14:paraId="63F8A0A7">
            <w:pPr>
              <w:spacing w:after="0"/>
              <w:ind w:firstLine="0"/>
            </w:pPr>
            <w:r>
              <w:rPr>
                <w:sz w:val="18"/>
              </w:rPr>
              <w:t>stock_change_log(warehouse_id,item_id,changed_at)</w:t>
            </w:r>
          </w:p>
        </w:tc>
        <w:tc>
          <w:tcPr>
            <w:tcW w:w="2295" w:type="dxa"/>
            <w:vAlign w:val="center"/>
          </w:tcPr>
          <w:p w14:paraId="5437FFE8">
            <w:pPr>
              <w:spacing w:after="0"/>
              <w:ind w:firstLine="0"/>
            </w:pPr>
            <w:r>
              <w:rPr>
                <w:sz w:val="18"/>
              </w:rPr>
              <w:t>库存审计页面</w:t>
            </w:r>
          </w:p>
        </w:tc>
        <w:tc>
          <w:tcPr>
            <w:tcW w:w="2294" w:type="dxa"/>
            <w:vAlign w:val="center"/>
          </w:tcPr>
          <w:p w14:paraId="03614DF0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服务按仓库、商品和时间查看库存变化</w:t>
            </w:r>
          </w:p>
        </w:tc>
      </w:tr>
    </w:tbl>
    <w:p w14:paraId="246E4C85">
      <w:pPr>
        <w:pStyle w:val="4"/>
        <w:spacing w:before="200"/>
        <w:rPr>
          <w:lang w:eastAsia="zh-CN"/>
        </w:rPr>
      </w:pPr>
      <w:bookmarkStart w:id="34" w:name="__RefHeading___Toc5835_2153205702"/>
      <w:bookmarkEnd w:id="34"/>
      <w:r>
        <w:rPr>
          <w:rFonts w:ascii="Times New Roman" w:hAnsi="Times New Roman" w:eastAsia="黑体"/>
          <w:lang w:eastAsia="zh-CN"/>
        </w:rPr>
        <w:t>4.7 数据库文件物理设计</w:t>
      </w:r>
    </w:p>
    <w:p w14:paraId="367A4BE1">
      <w:pPr>
        <w:spacing w:after="0"/>
      </w:pPr>
      <w:r>
        <w:rPr>
          <w:lang w:eastAsia="zh-CN"/>
        </w:rPr>
        <w:t>项目以 sql/ 作为唯一 SQL 源资产目录，db/init/ 仅作为 Docker 初始化入口。初始化脚本 db/init/00_run_sql_assets.sh 只引用 sql/V*.sql，不另行维护业务 SQL，从源头避免出现两套表结构。</w:t>
      </w:r>
    </w:p>
    <w:p w14:paraId="0CBDCE1C">
      <w:pPr>
        <w:jc w:val="center"/>
      </w:pPr>
      <w:r>
        <w:drawing>
          <wp:inline distT="0" distB="0" distL="0" distR="0">
            <wp:extent cx="5303520" cy="2174240"/>
            <wp:effectExtent l="0" t="0" r="0" b="0"/>
            <wp:docPr id="14" name="Picture 32" descr="项目以 sql/ 作为唯一 SQL 源资产目录，db/init/ 仅作为 Docker 初始化入口。初始化脚本 db/init/00_run_sql_assets.sh 只引用 sql/V*.sql，不另行维护业务 SQL，从源头避免出现两套表结构。" title="项目以 sql/ 作为唯一 SQL 源资产目录，db/init/ 仅作为 Docker 初始化入口。初始化脚本 db/init/00_run_sql_as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8B3B4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4-6 SQL 源资产执行流程图</w:t>
      </w:r>
    </w:p>
    <w:p w14:paraId="4532EEAF">
      <w:pPr>
        <w:spacing w:after="0"/>
        <w:rPr>
          <w:lang w:eastAsia="zh-CN"/>
        </w:rPr>
      </w:pPr>
      <w:r>
        <w:rPr>
          <w:lang w:eastAsia="zh-CN"/>
        </w:rPr>
        <w:t>开发初始化模式按 V1 → V2 → V3 → V4 → V8 → V9 → 可选 V10/V11 → V13 的顺序创建结构、约束、触发器、存储过程、索引和样例数据，V12 作为独立的执行计划模板按需运行。正式 COPY 模式通过 DEFER_POST_COPY_ASSETS 延迟后置资产，固定执行 V1/V2/V3 → COPY → V4/V8/V9/V13 → 可选 V10；已有数据卷则使用 db/scripts/migrate-db.ps1 非破坏性执行 V13 并刷新 V8 触发器。</w:t>
      </w:r>
    </w:p>
    <w:p w14:paraId="4DFB97CD">
      <w:pPr>
        <w:jc w:val="center"/>
      </w:pPr>
      <w:r>
        <w:drawing>
          <wp:inline distT="0" distB="0" distL="0" distR="0">
            <wp:extent cx="5303520" cy="2468245"/>
            <wp:effectExtent l="0" t="0" r="0" b="0"/>
            <wp:docPr id="15" name="Picture 33" descr="开发初始化模式下，可按 V1 → V2 → V3 → V4 → V8 → V9 → V10 → V11 的顺序创建结构、约束、触发器、存储过程、索引和样例数据；正式导入模式下，应先执行 V1/V2/V3，再使用 dbgen 与 COPY 导入正式 TPC-H 数据，之后执行 V4/V8/V9/V10。该顺序既保证结构可复现，也避免外键与索引影响大批量导入效率。" title="开发初始化模式下，可按 V1 → V2 → V3 → V4 → V8 → V9 → V10 → V11 的顺序创建结构、约束、触发器、存储过程、索引和样例数据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B6059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图 4-7 数据库表结构与初始化状态验证图</w:t>
      </w:r>
    </w:p>
    <w:p w14:paraId="11AC1E1C">
      <w:pPr>
        <w:pStyle w:val="4"/>
        <w:spacing w:before="200"/>
        <w:rPr>
          <w:lang w:eastAsia="zh-CN"/>
        </w:rPr>
      </w:pPr>
      <w:bookmarkStart w:id="35" w:name="__RefHeading___Toc5837_2153205702"/>
      <w:bookmarkEnd w:id="35"/>
      <w:r>
        <w:rPr>
          <w:rFonts w:ascii="Times New Roman" w:hAnsi="Times New Roman" w:eastAsia="黑体"/>
          <w:lang w:eastAsia="zh-CN"/>
        </w:rPr>
        <w:t>4.8 批量导入与数据清洗设计</w:t>
      </w:r>
    </w:p>
    <w:p w14:paraId="130BE19B">
      <w:pPr>
        <w:spacing w:after="0"/>
        <w:rPr>
          <w:lang w:eastAsia="zh-CN"/>
        </w:rPr>
      </w:pPr>
      <w:r>
        <w:rPr>
          <w:lang w:eastAsia="zh-CN"/>
        </w:rPr>
        <w:t>数据导入分为系统演示导入和正式数据库初始化导入。系统演示导入由后端服务与前端页面共同实现，数据库与 SQL 模块提供字段校验规则、错误原因编码、错误日志表结构和 SQL 模板；正式初始化导入由部署与性能测试流程使用 dbgen 与 COPY 完成，不经过页面演示导入链路。</w:t>
      </w:r>
    </w:p>
    <w:p w14:paraId="49DAAB15">
      <w:pPr>
        <w:spacing w:before="60" w:after="120"/>
        <w:jc w:val="center"/>
        <w:rPr>
          <w:lang w:eastAsia="zh-CN"/>
        </w:rPr>
      </w:pPr>
      <w:r>
        <w:rPr>
          <w:sz w:val="21"/>
          <w:lang w:eastAsia="zh-CN"/>
        </w:rPr>
        <w:t>表 4-7 批量导入与数据清洗规则表</w:t>
      </w:r>
    </w:p>
    <w:tbl>
      <w:tblPr>
        <w:tblStyle w:val="39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5"/>
        <w:gridCol w:w="2295"/>
        <w:gridCol w:w="2294"/>
      </w:tblGrid>
      <w:tr w14:paraId="116E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295" w:type="dxa"/>
            <w:vAlign w:val="center"/>
          </w:tcPr>
          <w:p w14:paraId="64E2322C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检查类型</w:t>
            </w:r>
          </w:p>
        </w:tc>
        <w:tc>
          <w:tcPr>
            <w:tcW w:w="2295" w:type="dxa"/>
            <w:vAlign w:val="center"/>
          </w:tcPr>
          <w:p w14:paraId="54ABB140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涉及表/字段</w:t>
            </w:r>
          </w:p>
        </w:tc>
        <w:tc>
          <w:tcPr>
            <w:tcW w:w="2295" w:type="dxa"/>
            <w:vAlign w:val="center"/>
          </w:tcPr>
          <w:p w14:paraId="59BBDA56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错误原因编码</w:t>
            </w:r>
          </w:p>
        </w:tc>
        <w:tc>
          <w:tcPr>
            <w:tcW w:w="2294" w:type="dxa"/>
            <w:vAlign w:val="center"/>
          </w:tcPr>
          <w:p w14:paraId="16B3F946">
            <w:pPr>
              <w:spacing w:after="0"/>
              <w:jc w:val="center"/>
            </w:pPr>
            <w:r>
              <w:rPr>
                <w:rFonts w:eastAsia="黑体"/>
                <w:b/>
                <w:sz w:val="20"/>
              </w:rPr>
              <w:t>处理方式</w:t>
            </w:r>
          </w:p>
        </w:tc>
      </w:tr>
      <w:tr w14:paraId="6A958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5FB1067E">
            <w:pPr>
              <w:spacing w:after="0"/>
            </w:pPr>
            <w:r>
              <w:rPr>
                <w:sz w:val="18"/>
              </w:rPr>
              <w:t>空值检查</w:t>
            </w:r>
          </w:p>
        </w:tc>
        <w:tc>
          <w:tcPr>
            <w:tcW w:w="2295" w:type="dxa"/>
            <w:vAlign w:val="center"/>
          </w:tcPr>
          <w:p w14:paraId="2552EA97">
            <w:pPr>
              <w:spacing w:after="0"/>
              <w:ind w:firstLine="0"/>
            </w:pPr>
            <w:r>
              <w:rPr>
                <w:sz w:val="18"/>
              </w:rPr>
              <w:t>orders、lineitem、partsupp 关键字段</w:t>
            </w:r>
          </w:p>
        </w:tc>
        <w:tc>
          <w:tcPr>
            <w:tcW w:w="2295" w:type="dxa"/>
            <w:vAlign w:val="center"/>
          </w:tcPr>
          <w:p w14:paraId="78FE5C06">
            <w:pPr>
              <w:spacing w:after="0"/>
              <w:ind w:firstLine="0"/>
            </w:pPr>
            <w:r>
              <w:rPr>
                <w:sz w:val="18"/>
              </w:rPr>
              <w:t>required_field_empty</w:t>
            </w:r>
          </w:p>
        </w:tc>
        <w:tc>
          <w:tcPr>
            <w:tcW w:w="2294" w:type="dxa"/>
            <w:vAlign w:val="center"/>
          </w:tcPr>
          <w:p w14:paraId="511D42B9">
            <w:pPr>
              <w:spacing w:after="0"/>
              <w:ind w:firstLine="0"/>
            </w:pPr>
            <w:r>
              <w:rPr>
                <w:sz w:val="18"/>
              </w:rPr>
              <w:t>写入 import_error_log，继续处理下一行</w:t>
            </w:r>
          </w:p>
        </w:tc>
      </w:tr>
      <w:tr w14:paraId="6465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0553E26A">
            <w:pPr>
              <w:spacing w:after="0"/>
            </w:pPr>
            <w:r>
              <w:rPr>
                <w:sz w:val="18"/>
              </w:rPr>
              <w:t>类型检查</w:t>
            </w:r>
          </w:p>
        </w:tc>
        <w:tc>
          <w:tcPr>
            <w:tcW w:w="2295" w:type="dxa"/>
            <w:vAlign w:val="center"/>
          </w:tcPr>
          <w:p w14:paraId="7E21C0EA">
            <w:pPr>
              <w:spacing w:after="0"/>
              <w:ind w:firstLine="0"/>
            </w:pPr>
            <w:r>
              <w:rPr>
                <w:sz w:val="18"/>
              </w:rPr>
              <w:t>整数、numeric、date 字段</w:t>
            </w:r>
          </w:p>
        </w:tc>
        <w:tc>
          <w:tcPr>
            <w:tcW w:w="2295" w:type="dxa"/>
            <w:vAlign w:val="center"/>
          </w:tcPr>
          <w:p w14:paraId="6FF2CAFD">
            <w:pPr>
              <w:spacing w:after="0"/>
              <w:ind w:firstLine="0"/>
            </w:pPr>
            <w:r>
              <w:rPr>
                <w:sz w:val="18"/>
              </w:rPr>
              <w:t>invalid_integer / invalid_numeric / invalid_date</w:t>
            </w:r>
          </w:p>
        </w:tc>
        <w:tc>
          <w:tcPr>
            <w:tcW w:w="2294" w:type="dxa"/>
            <w:vAlign w:val="center"/>
          </w:tcPr>
          <w:p w14:paraId="50624106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程序侧解析失败即记录错误</w:t>
            </w:r>
          </w:p>
        </w:tc>
      </w:tr>
      <w:tr w14:paraId="2ABC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F2460B3">
            <w:pPr>
              <w:spacing w:after="0"/>
            </w:pPr>
            <w:r>
              <w:rPr>
                <w:sz w:val="18"/>
              </w:rPr>
              <w:t>范围检查</w:t>
            </w:r>
          </w:p>
        </w:tc>
        <w:tc>
          <w:tcPr>
            <w:tcW w:w="2295" w:type="dxa"/>
            <w:vAlign w:val="center"/>
          </w:tcPr>
          <w:p w14:paraId="519E6C0C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金额、数量、折扣、税率</w:t>
            </w:r>
          </w:p>
        </w:tc>
        <w:tc>
          <w:tcPr>
            <w:tcW w:w="2295" w:type="dxa"/>
            <w:vAlign w:val="center"/>
          </w:tcPr>
          <w:p w14:paraId="45A3EAF7">
            <w:pPr>
              <w:spacing w:after="0"/>
              <w:ind w:firstLine="0"/>
            </w:pPr>
            <w:r>
              <w:rPr>
                <w:sz w:val="18"/>
              </w:rPr>
              <w:t>negative_amount / quantity_not_positive / discount_out_of_range</w:t>
            </w:r>
          </w:p>
        </w:tc>
        <w:tc>
          <w:tcPr>
            <w:tcW w:w="2294" w:type="dxa"/>
            <w:vAlign w:val="center"/>
          </w:tcPr>
          <w:p w14:paraId="3C79E112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不合规数据不写入目标表</w:t>
            </w:r>
          </w:p>
        </w:tc>
      </w:tr>
      <w:tr w14:paraId="35D9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11022653">
            <w:pPr>
              <w:spacing w:after="0"/>
            </w:pPr>
            <w:r>
              <w:rPr>
                <w:sz w:val="18"/>
              </w:rPr>
              <w:t>日期逻辑检查</w:t>
            </w:r>
          </w:p>
        </w:tc>
        <w:tc>
          <w:tcPr>
            <w:tcW w:w="2295" w:type="dxa"/>
            <w:vAlign w:val="center"/>
          </w:tcPr>
          <w:p w14:paraId="1A84ED82">
            <w:pPr>
              <w:spacing w:after="0"/>
              <w:ind w:firstLine="0"/>
            </w:pPr>
            <w:r>
              <w:rPr>
                <w:sz w:val="18"/>
              </w:rPr>
              <w:t>lineitem 三个日期</w:t>
            </w:r>
          </w:p>
        </w:tc>
        <w:tc>
          <w:tcPr>
            <w:tcW w:w="2295" w:type="dxa"/>
            <w:vAlign w:val="center"/>
          </w:tcPr>
          <w:p w14:paraId="78986645">
            <w:pPr>
              <w:spacing w:after="0"/>
              <w:ind w:firstLine="0"/>
            </w:pPr>
            <w:r>
              <w:rPr>
                <w:sz w:val="18"/>
              </w:rPr>
              <w:t>date_order_violation</w:t>
            </w:r>
          </w:p>
        </w:tc>
        <w:tc>
          <w:tcPr>
            <w:tcW w:w="2294" w:type="dxa"/>
            <w:vAlign w:val="center"/>
          </w:tcPr>
          <w:p w14:paraId="0998614D">
            <w:pPr>
              <w:spacing w:after="0"/>
              <w:ind w:firstLine="0"/>
            </w:pPr>
            <w:r>
              <w:rPr>
                <w:sz w:val="18"/>
              </w:rPr>
              <w:t>要求 l_shipdate &lt; l_commitdate &lt;= l_receiptdate</w:t>
            </w:r>
          </w:p>
        </w:tc>
      </w:tr>
      <w:tr w14:paraId="0AA0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742CD495">
            <w:pPr>
              <w:spacing w:after="0"/>
            </w:pPr>
            <w:r>
              <w:rPr>
                <w:sz w:val="18"/>
              </w:rPr>
              <w:t>外键存在性检查</w:t>
            </w:r>
          </w:p>
        </w:tc>
        <w:tc>
          <w:tcPr>
            <w:tcW w:w="2295" w:type="dxa"/>
            <w:vAlign w:val="center"/>
          </w:tcPr>
          <w:p w14:paraId="76E456FB">
            <w:pPr>
              <w:spacing w:after="0"/>
              <w:ind w:firstLine="0"/>
            </w:pPr>
            <w:r>
              <w:rPr>
                <w:sz w:val="18"/>
              </w:rPr>
              <w:t>orders、lineitem、partsupp</w:t>
            </w:r>
          </w:p>
        </w:tc>
        <w:tc>
          <w:tcPr>
            <w:tcW w:w="2295" w:type="dxa"/>
            <w:vAlign w:val="center"/>
          </w:tcPr>
          <w:p w14:paraId="30E9C8F4">
            <w:pPr>
              <w:spacing w:after="0"/>
              <w:ind w:firstLine="0"/>
            </w:pPr>
            <w:r>
              <w:rPr>
                <w:sz w:val="18"/>
              </w:rPr>
              <w:t>foreign_key_not_found</w:t>
            </w:r>
          </w:p>
        </w:tc>
        <w:tc>
          <w:tcPr>
            <w:tcW w:w="2294" w:type="dxa"/>
            <w:vAlign w:val="center"/>
          </w:tcPr>
          <w:p w14:paraId="13CF1687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严格模式下由后端接口与事务服务查询主表验证</w:t>
            </w:r>
          </w:p>
        </w:tc>
      </w:tr>
      <w:tr w14:paraId="6E57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95" w:type="dxa"/>
            <w:vAlign w:val="center"/>
          </w:tcPr>
          <w:p w14:paraId="37AE348B">
            <w:pPr>
              <w:spacing w:after="0"/>
            </w:pPr>
            <w:r>
              <w:rPr>
                <w:sz w:val="18"/>
              </w:rPr>
              <w:t>主键冲突处理</w:t>
            </w:r>
          </w:p>
        </w:tc>
        <w:tc>
          <w:tcPr>
            <w:tcW w:w="2295" w:type="dxa"/>
            <w:vAlign w:val="center"/>
          </w:tcPr>
          <w:p w14:paraId="31229AF4">
            <w:pPr>
              <w:spacing w:after="0"/>
              <w:ind w:firstLine="0"/>
            </w:pPr>
            <w:r>
              <w:rPr>
                <w:sz w:val="18"/>
              </w:rPr>
              <w:t>orders、lineitem、partsupp</w:t>
            </w:r>
          </w:p>
        </w:tc>
        <w:tc>
          <w:tcPr>
            <w:tcW w:w="2295" w:type="dxa"/>
            <w:vAlign w:val="center"/>
          </w:tcPr>
          <w:p w14:paraId="179F500B">
            <w:pPr>
              <w:spacing w:after="0"/>
              <w:ind w:firstLine="0"/>
            </w:pPr>
            <w:r>
              <w:rPr>
                <w:sz w:val="18"/>
              </w:rPr>
              <w:t>primary_key_conflict</w:t>
            </w:r>
          </w:p>
        </w:tc>
        <w:tc>
          <w:tcPr>
            <w:tcW w:w="2294" w:type="dxa"/>
            <w:vAlign w:val="center"/>
          </w:tcPr>
          <w:p w14:paraId="55CE81D3">
            <w:pPr>
              <w:spacing w:after="0"/>
              <w:ind w:firstLine="0"/>
            </w:pPr>
            <w:r>
              <w:rPr>
                <w:sz w:val="18"/>
              </w:rPr>
              <w:t>默认 ON CONFLICT DO NOTHING 并记录错误</w:t>
            </w:r>
          </w:p>
        </w:tc>
      </w:tr>
    </w:tbl>
    <w:p w14:paraId="266F2058">
      <w:pPr>
        <w:pStyle w:val="3"/>
        <w:spacing w:before="0" w:after="0"/>
        <w:ind w:firstLine="0"/>
      </w:pPr>
      <w:bookmarkStart w:id="36" w:name="__RefHeading___Toc5839_2153205702"/>
      <w:bookmarkEnd w:id="36"/>
      <w:bookmarkStart w:id="37" w:name="_Toc234332059"/>
      <w:r>
        <w:rPr>
          <w:rFonts w:ascii="Times New Roman" w:hAnsi="Times New Roman" w:eastAsia="黑体"/>
          <w:color w:val="000000"/>
        </w:rPr>
        <w:t>第 5 章 接口访问设计</w:t>
      </w:r>
      <w:bookmarkEnd w:id="37"/>
    </w:p>
    <w:p w14:paraId="1038A504">
      <w:pPr>
        <w:pStyle w:val="4"/>
        <w:spacing w:before="0" w:after="0"/>
        <w:ind w:firstLine="0"/>
      </w:pPr>
      <w:bookmarkStart w:id="38" w:name="__RefHeading___Toc5841_2153205702"/>
      <w:bookmarkEnd w:id="38"/>
      <w:bookmarkStart w:id="39" w:name="_Toc234332060"/>
      <w:r>
        <w:rPr>
          <w:rFonts w:ascii="Times New Roman" w:hAnsi="Times New Roman" w:eastAsia="黑体"/>
          <w:color w:val="000000"/>
        </w:rPr>
        <w:t>5.1 接口设计原则</w:t>
      </w:r>
      <w:bookmarkEnd w:id="39"/>
    </w:p>
    <w:p w14:paraId="681F4425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系统后端采用 Spring Boot 构建 REST 风格接口。接口按用户与权限、数据管理、业务查询、TPC-H 分析、TPC-C 事务和性能结果六类业务划分；Controller 接收参数并封装响应，Service 层处理业务逻辑，JDBC/MyBatis 完成数据访问。</w:t>
      </w:r>
    </w:p>
    <w:p w14:paraId="7B117D77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为保证前后端解耦，接口契约统一采用 lowerCamelCase 字段；数据库表字段和 SQL 别名仍使用 snake_case，并在 DTO/VO 与 ResultMap 中完成映射。列表查询统一使用 pageNo、pageSize、total 和 records 表达分页结果，前端无需感知底层表结构。</w:t>
      </w:r>
    </w:p>
    <w:p w14:paraId="12863A67">
      <w:pPr>
        <w:pStyle w:val="4"/>
        <w:spacing w:before="0" w:after="0"/>
        <w:ind w:firstLine="0"/>
        <w:rPr>
          <w:lang w:eastAsia="zh-CN"/>
        </w:rPr>
      </w:pPr>
      <w:bookmarkStart w:id="40" w:name="__RefHeading___Toc5843_2153205702"/>
      <w:bookmarkEnd w:id="40"/>
      <w:bookmarkStart w:id="41" w:name="_Toc234332061"/>
      <w:r>
        <w:rPr>
          <w:rFonts w:ascii="Times New Roman" w:hAnsi="Times New Roman" w:eastAsia="黑体"/>
          <w:color w:val="000000"/>
          <w:lang w:eastAsia="zh-CN"/>
        </w:rPr>
        <w:t>5.2 统一响应格式设计</w:t>
      </w:r>
      <w:bookmarkEnd w:id="41"/>
    </w:p>
    <w:p w14:paraId="427B37AB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所有接口均使用统一响应对象 ApiResponse&lt;T&gt; 返回结果，成功时返回 code=200、message=success 和 data；参数不合法、未登录、无权限、资源不存在、冲突和系统异常分别转换为统一错误码。该设计使页面能够用一致的方式处理正常结果和失败提示。</w:t>
      </w:r>
    </w:p>
    <w:p w14:paraId="79A34D25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对分页接口，data 内包含 pageNo、pageSize、total 和 records 字段。全局异常处理集中处理校验异常和业务异常，避免向前端暴露堆栈信息；Controller 不直接返回数据库 Map，保证响应字段与 API 契约一致。</w:t>
      </w:r>
    </w:p>
    <w:p w14:paraId="0C136215">
      <w:pPr>
        <w:pStyle w:val="4"/>
        <w:spacing w:before="0" w:after="0"/>
        <w:ind w:firstLine="0"/>
        <w:rPr>
          <w:lang w:eastAsia="zh-CN"/>
        </w:rPr>
      </w:pPr>
      <w:bookmarkStart w:id="42" w:name="__RefHeading___Toc5845_2153205702"/>
      <w:bookmarkEnd w:id="42"/>
      <w:bookmarkStart w:id="43" w:name="_Toc234332062"/>
      <w:r>
        <w:rPr>
          <w:rFonts w:ascii="Times New Roman" w:hAnsi="Times New Roman" w:eastAsia="黑体"/>
          <w:color w:val="000000"/>
          <w:lang w:eastAsia="zh-CN"/>
        </w:rPr>
        <w:t>5.3 用户与权限接口设计</w:t>
      </w:r>
      <w:bookmarkEnd w:id="43"/>
    </w:p>
    <w:p w14:paraId="5EA673A1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用户与权限模块提供 POST /api/auth/login、POST /api/auth/register、GET /api/users 以及用户审批、禁用等管理接口。登录、注册和健康检查允许匿名访问，其余业务接口需要在 Authorization 请求头携带 Bearer token。</w:t>
      </w:r>
    </w:p>
    <w:p w14:paraId="20FBD2F2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服务端对管理员接口执行角色校验；数据导入、导出和用户管理仅允许管理员使用。Mock、dev 和 prod profile 使用同一套对外字段与接口路径，便于前端在不同运行环境之间切换。</w:t>
      </w:r>
    </w:p>
    <w:p w14:paraId="32AEC394">
      <w:pPr>
        <w:pStyle w:val="4"/>
        <w:spacing w:before="0" w:after="0"/>
        <w:ind w:firstLine="0"/>
        <w:rPr>
          <w:lang w:eastAsia="zh-CN"/>
        </w:rPr>
      </w:pPr>
      <w:bookmarkStart w:id="44" w:name="__RefHeading___Toc5847_2153205702"/>
      <w:bookmarkEnd w:id="44"/>
      <w:bookmarkStart w:id="45" w:name="_Toc234332063"/>
      <w:r>
        <w:rPr>
          <w:rFonts w:ascii="Times New Roman" w:hAnsi="Times New Roman" w:eastAsia="黑体"/>
          <w:color w:val="000000"/>
          <w:lang w:eastAsia="zh-CN"/>
        </w:rPr>
        <w:t>5.4 数据管理接口设计</w:t>
      </w:r>
      <w:bookmarkEnd w:id="45"/>
    </w:p>
    <w:p w14:paraId="7591C14E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数据管理模块实现导入任务创建、任务查询、错误明细查看和数据导出接口。dev 环境下系统演示导入面向 orders 与 lineitem 文件逐行读取，完成必填项、类型、范围和日期逻辑校验；合法记录批量写入，异常记录写入 import_error_log。</w:t>
      </w:r>
    </w:p>
    <w:p w14:paraId="314DB14D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导入过程同步维护 import_task 的总行数、成功数、失败数和任务状态。导出接口采用固定表白名单，不导出 app_user 的密码摘要等敏感字段；该模块仅用于系统功能演示，不替代正式环境中的 dbgen 与 COPY 数据装载流程。</w:t>
      </w:r>
    </w:p>
    <w:p w14:paraId="73B1C48B">
      <w:pPr>
        <w:pStyle w:val="4"/>
        <w:spacing w:before="0" w:after="0"/>
        <w:ind w:firstLine="0"/>
        <w:rPr>
          <w:lang w:eastAsia="zh-CN"/>
        </w:rPr>
      </w:pPr>
      <w:bookmarkStart w:id="46" w:name="__RefHeading___Toc5849_2153205702"/>
      <w:bookmarkEnd w:id="46"/>
      <w:bookmarkStart w:id="47" w:name="_Toc234332064"/>
      <w:r>
        <w:rPr>
          <w:rFonts w:ascii="Times New Roman" w:hAnsi="Times New Roman" w:eastAsia="黑体"/>
          <w:color w:val="000000"/>
          <w:lang w:eastAsia="zh-CN"/>
        </w:rPr>
        <w:t>5.5 业务查询接口设计</w:t>
      </w:r>
      <w:bookmarkEnd w:id="47"/>
    </w:p>
    <w:p w14:paraId="05CE0867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业务查询模块提供客户信息查询、订单收入查询和零部件供应查询接口，支持关键字、日期范围和分页等请求参数。查询结果由 VO 封装为页面可直接展示的记录，查询过程不向前端透出表字段或 SQL 别名。</w:t>
      </w:r>
    </w:p>
    <w:p w14:paraId="178873A3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对于真实 PostgreSQL 环境，业务查询由 JdbcBusinessQueryService 执行；Mock 环境返回与契约字段一致的固定样例数据，从而支持前端页面在数据库尚未准备完成时并行联调。</w:t>
      </w:r>
    </w:p>
    <w:p w14:paraId="4C250D4A">
      <w:pPr>
        <w:pStyle w:val="4"/>
        <w:spacing w:before="0" w:after="0"/>
        <w:ind w:firstLine="0"/>
        <w:rPr>
          <w:lang w:eastAsia="zh-CN"/>
        </w:rPr>
      </w:pPr>
      <w:bookmarkStart w:id="48" w:name="__RefHeading___Toc5851_2153205702"/>
      <w:bookmarkEnd w:id="48"/>
      <w:bookmarkStart w:id="49" w:name="_Toc234332065"/>
      <w:r>
        <w:rPr>
          <w:rFonts w:ascii="Times New Roman" w:hAnsi="Times New Roman" w:eastAsia="黑体"/>
          <w:color w:val="000000"/>
          <w:lang w:eastAsia="zh-CN"/>
        </w:rPr>
        <w:t>5.6 TPC-H 统计分析接口设计</w:t>
      </w:r>
      <w:bookmarkEnd w:id="49"/>
    </w:p>
    <w:p w14:paraId="447BC0BA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TPC-H 分析模块实现 GET /api/tpch/q1、/api/tpch/q5、/api/tpch/q12 和 /api/tpch/q14。Q1 返回 returnFlag、lineStatus、sumQuantity、sumBasePrice、sumDiscountedPrice、sumCharge、avgQuantity、avgPrice、avgDisc 和 countOrder 等聚合字段；Q5、Q12、Q14 分别返回 nationName/revenue、shipMode/highLineCount/lowLineCount 和 promoRevenuePercent。</w:t>
      </w:r>
    </w:p>
    <w:p w14:paraId="0E273C83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在 dev profile 中，Q1—Q14 使用 MyBatis 执行 PostgreSQL 查询，并将查询名称、参数、耗时和返回行数写入 query_log；在 mock profile 中返回相同结构的示例数据。该方式同时满足图表展示、字段稳定和真实库验证需求。</w:t>
      </w:r>
    </w:p>
    <w:p w14:paraId="5A9D682D">
      <w:pPr>
        <w:pStyle w:val="4"/>
        <w:spacing w:before="0" w:after="0"/>
        <w:ind w:firstLine="0"/>
        <w:rPr>
          <w:lang w:eastAsia="zh-CN"/>
        </w:rPr>
      </w:pPr>
      <w:bookmarkStart w:id="50" w:name="__RefHeading___Toc5853_2153205702"/>
      <w:bookmarkEnd w:id="50"/>
      <w:bookmarkStart w:id="51" w:name="_Toc234332066"/>
      <w:r>
        <w:rPr>
          <w:rFonts w:ascii="Times New Roman" w:hAnsi="Times New Roman" w:eastAsia="黑体"/>
          <w:color w:val="000000"/>
          <w:lang w:eastAsia="zh-CN"/>
        </w:rPr>
        <w:t>5.7 TPC-C 事务处理接口设计</w:t>
      </w:r>
      <w:bookmarkEnd w:id="51"/>
    </w:p>
    <w:p w14:paraId="63B2608F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TPC-C 事务模块提供 POST /api/tpcc/new-order 与 POST /api/tpcc/payment。New-Order 请求包含 warehouseId、districtId、customerId 和商品项列表；Payment 请求包含仓库、地区、客户和 paymentAmount。事务成功时返回 transactionId、status、elapsedMs 以及订单号或客户余额等结果。</w:t>
      </w:r>
    </w:p>
    <w:p w14:paraId="3DE927C1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真实库实现使用 Spring @Transactional(rollbackFor = Exception.class) 控制边界。New-Order 在同一事务内校验基础数据、递增 d_next_o_id、写入订单与订单行、更新库存并记录审计上下文；Payment 更新仓库和地区收款额、客户余额及支付历史。任意步骤失败均抛出业务异常并回滚。</w:t>
      </w:r>
    </w:p>
    <w:p w14:paraId="4D2F4276">
      <w:pPr>
        <w:pStyle w:val="4"/>
        <w:spacing w:before="0" w:after="0"/>
        <w:ind w:firstLine="0"/>
        <w:rPr>
          <w:lang w:eastAsia="zh-CN"/>
        </w:rPr>
      </w:pPr>
      <w:bookmarkStart w:id="52" w:name="__RefHeading___Toc5855_2153205702"/>
      <w:bookmarkEnd w:id="52"/>
      <w:bookmarkStart w:id="53" w:name="_Toc234332067"/>
      <w:r>
        <w:rPr>
          <w:rFonts w:ascii="Times New Roman" w:hAnsi="Times New Roman" w:eastAsia="黑体"/>
          <w:color w:val="000000"/>
          <w:lang w:eastAsia="zh-CN"/>
        </w:rPr>
        <w:t>5.8 性能结果接口设计</w:t>
      </w:r>
      <w:bookmarkEnd w:id="53"/>
    </w:p>
    <w:p w14:paraId="29159404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性能结果模块提供 GET /api/performance/results 及按 id 查询接口，供前端展示 TPC-H 与 TPC-C 压测结果。返回数据包括 endpoint、method、concurrentUsers、totalRequests、successCount、failCount、avgLatencyMs、p95LatencyMs、throughput 和 createdAt 等字段。</w:t>
      </w:r>
    </w:p>
    <w:p w14:paraId="514B313D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该接口读取已归档的 performance_result 数据，并按前端所需字段返回；接口层不重复执行压测。性能脚本、正式压测和原始 CSV 由独立的性能实验流程归档。</w:t>
      </w:r>
    </w:p>
    <w:p w14:paraId="3BDC2D8D">
      <w:pPr>
        <w:spacing w:after="0"/>
        <w:jc w:val="center"/>
      </w:pPr>
      <w:r>
        <w:rPr>
          <w:color w:val="000000"/>
          <w:sz w:val="21"/>
        </w:rPr>
        <w:t>表 5-1 接口设计示例表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28F4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CC5ABC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接口类别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C18FFA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核心路径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BD2DB4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说明</w:t>
            </w:r>
          </w:p>
        </w:tc>
      </w:tr>
      <w:tr w14:paraId="54637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E23FAD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用户与权限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B1AA5C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POST /api/auth/login；/api/auth/register；GET /api/users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E17572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登录注册、用户管理和角色校验</w:t>
            </w:r>
          </w:p>
        </w:tc>
      </w:tr>
      <w:tr w14:paraId="17D73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F8BDBD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数据管理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93A399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POST /api/import/tasks；GET /api/import/tasks；GET /api/export/*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F7F74D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导入任务、错误明细和白名单导出</w:t>
            </w:r>
          </w:p>
        </w:tc>
      </w:tr>
      <w:tr w14:paraId="713EF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D3C00F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业务与 TPC-H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7BD073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GET /api/query/*；GET /api/tpch/q1、q5、q12、q14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F88CD2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业务分页查询与统计分析</w:t>
            </w:r>
          </w:p>
        </w:tc>
      </w:tr>
      <w:tr w14:paraId="13E5A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82B521F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TPC-C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FA34B8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POST /api/tpcc/new-order；POST /api/tpcc/payment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C55F4C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事务提交、异常回滚和审计</w:t>
            </w:r>
          </w:p>
        </w:tc>
      </w:tr>
      <w:tr w14:paraId="5C220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85C1F4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性能结果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6E9E90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GET /api/performance/results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C5A398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读取已归档的性能指标</w:t>
            </w:r>
          </w:p>
        </w:tc>
      </w:tr>
    </w:tbl>
    <w:p w14:paraId="1FA5E17F">
      <w:pPr>
        <w:spacing w:after="0"/>
      </w:pPr>
      <w:r>
        <w:br w:type="page"/>
      </w:r>
    </w:p>
    <w:p w14:paraId="39C894B6">
      <w:pPr>
        <w:pStyle w:val="3"/>
        <w:spacing w:before="0" w:after="0"/>
        <w:ind w:firstLine="0"/>
      </w:pPr>
      <w:bookmarkStart w:id="54" w:name="__RefHeading___Toc5857_2153205702"/>
      <w:bookmarkEnd w:id="54"/>
      <w:bookmarkStart w:id="55" w:name="_Toc234332068"/>
      <w:r>
        <w:rPr>
          <w:rFonts w:ascii="Times New Roman" w:hAnsi="Times New Roman" w:eastAsia="黑体"/>
          <w:color w:val="000000"/>
        </w:rPr>
        <w:t>第 6 章 系统实现</w:t>
      </w:r>
      <w:bookmarkEnd w:id="55"/>
    </w:p>
    <w:p w14:paraId="5EFDE035">
      <w:pPr>
        <w:pStyle w:val="4"/>
        <w:spacing w:before="0" w:after="0"/>
        <w:ind w:firstLine="0"/>
      </w:pPr>
      <w:bookmarkStart w:id="56" w:name="__RefHeading___Toc5859_2153205702"/>
      <w:bookmarkEnd w:id="56"/>
      <w:bookmarkStart w:id="57" w:name="_Toc234332069"/>
      <w:r>
        <w:rPr>
          <w:rFonts w:ascii="Times New Roman" w:hAnsi="Times New Roman" w:eastAsia="黑体"/>
          <w:color w:val="000000"/>
        </w:rPr>
        <w:t>6.1 软硬件平台</w:t>
      </w:r>
      <w:bookmarkEnd w:id="57"/>
    </w:p>
    <w:p w14:paraId="4C8F4624">
      <w:pPr>
        <w:spacing w:after="0"/>
        <w:rPr>
          <w:lang w:eastAsia="zh-CN"/>
        </w:rPr>
      </w:pPr>
      <w:r>
        <w:t>本项目在 Windows 11 与 Docker Desktop 环境下完成开发和验证，数据库采用 PostgreSQL 16 Docker 容器，容器名为 tpc-commerce-postgres，数据库名为 tpc_commerce，统一端口为 5432。前端通过 Chrome 浏览器和 Vite 开发服务器验证页面，后端通过 Spring Boot dev profile 连接真实数据库，性能实验在同一套正式导入数据上执行，保证截图、日志和性能结果来自同一运行环境。</w:t>
      </w:r>
    </w:p>
    <w:p w14:paraId="2F82BAB5">
      <w:pPr>
        <w:pStyle w:val="4"/>
        <w:spacing w:before="0" w:after="0"/>
        <w:ind w:firstLine="0"/>
      </w:pPr>
      <w:bookmarkStart w:id="58" w:name="__RefHeading___Toc5861_2153205702"/>
      <w:bookmarkEnd w:id="58"/>
      <w:bookmarkStart w:id="59" w:name="_Toc234332070"/>
      <w:r>
        <w:rPr>
          <w:rFonts w:ascii="Times New Roman" w:hAnsi="Times New Roman" w:eastAsia="黑体"/>
          <w:color w:val="000000"/>
        </w:rPr>
        <w:t>6.2 开发环境与工具</w:t>
      </w:r>
      <w:bookmarkEnd w:id="59"/>
    </w:p>
    <w:p w14:paraId="45416D3F">
      <w:pPr>
        <w:spacing w:after="0"/>
      </w:pPr>
      <w:r>
        <w:t>开发与验证工具包括 Java 17、Spring Boot 3.3.7、Node.js/npm、Vue 3、Python 和 Git。后端通过 JAVA_HOME 指向 JDK 17，前端以 VITE_USE_MOCK=false 切换到真实接口模式；Python 脚本用于 TPC-H 数据检查、并发测试统计和联调记录自动生成。Git 按功能分支组织开发成果，并统一归档环境部署、正式数据导入、性能测试和系统联调证据。</w:t>
      </w:r>
    </w:p>
    <w:p w14:paraId="30859283">
      <w:pPr>
        <w:keepNext/>
        <w:spacing w:after="0"/>
        <w:jc w:val="center"/>
      </w:pPr>
      <w:r>
        <w:rPr>
          <w:color w:val="000000"/>
          <w:sz w:val="21"/>
        </w:rPr>
        <w:t>表 6-1 开发环境与工具表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F5DD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528296">
            <w:pPr>
              <w:spacing w:line="300" w:lineRule="auto"/>
              <w:ind w:firstLine="0"/>
              <w:jc w:val="center"/>
            </w:pPr>
            <w:r>
              <w:rPr>
                <w:b/>
                <w:color w:val="000000"/>
              </w:rPr>
              <w:t>项目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68638B">
            <w:pPr>
              <w:spacing w:line="300" w:lineRule="auto"/>
              <w:ind w:firstLine="0"/>
              <w:jc w:val="center"/>
            </w:pPr>
            <w:r>
              <w:rPr>
                <w:b/>
                <w:color w:val="000000"/>
              </w:rPr>
              <w:t>版本/工具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BFCE66">
            <w:pPr>
              <w:spacing w:line="300" w:lineRule="auto"/>
              <w:ind w:firstLine="0"/>
              <w:jc w:val="center"/>
            </w:pPr>
            <w:r>
              <w:rPr>
                <w:b/>
                <w:color w:val="000000"/>
              </w:rPr>
              <w:t>用途</w:t>
            </w:r>
          </w:p>
        </w:tc>
      </w:tr>
      <w:tr w14:paraId="4A2F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45675B">
            <w:pPr>
              <w:spacing w:line="300" w:lineRule="auto"/>
              <w:ind w:firstLine="0"/>
            </w:pPr>
            <w:r>
              <w:rPr>
                <w:color w:val="000000"/>
              </w:rPr>
              <w:t>后端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9ABF49">
            <w:pPr>
              <w:spacing w:line="300" w:lineRule="auto"/>
              <w:ind w:firstLine="0"/>
            </w:pPr>
            <w:r>
              <w:rPr>
                <w:color w:val="000000"/>
              </w:rPr>
              <w:t>JDK 17 + Spring Boot 3.3.7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A93A52">
            <w:pPr>
              <w:spacing w:line="300" w:lineRule="auto"/>
              <w:ind w:firstLine="0"/>
            </w:pPr>
            <w:r>
              <w:rPr>
                <w:color w:val="000000"/>
              </w:rPr>
              <w:t>业务接口和事务服务</w:t>
            </w:r>
          </w:p>
        </w:tc>
      </w:tr>
      <w:tr w14:paraId="1B3A0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5FA545">
            <w:pPr>
              <w:spacing w:line="300" w:lineRule="auto"/>
              <w:ind w:firstLine="0"/>
            </w:pPr>
            <w:r>
              <w:rPr>
                <w:color w:val="000000"/>
              </w:rPr>
              <w:t>前端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D541159">
            <w:pPr>
              <w:spacing w:line="300" w:lineRule="auto"/>
              <w:ind w:firstLine="0"/>
            </w:pPr>
            <w:r>
              <w:rPr>
                <w:color w:val="000000"/>
              </w:rPr>
              <w:t>Node.js + Vue 3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2A4F89">
            <w:pPr>
              <w:spacing w:line="300" w:lineRule="auto"/>
              <w:ind w:firstLine="0"/>
            </w:pPr>
            <w:r>
              <w:rPr>
                <w:color w:val="000000"/>
              </w:rPr>
              <w:t>页面和图表展示</w:t>
            </w:r>
          </w:p>
        </w:tc>
      </w:tr>
      <w:tr w14:paraId="2134F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CA5E853">
            <w:pPr>
              <w:spacing w:line="300" w:lineRule="auto"/>
              <w:ind w:firstLine="0"/>
            </w:pPr>
            <w:r>
              <w:rPr>
                <w:color w:val="000000"/>
              </w:rPr>
              <w:t>数据库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CE688F">
            <w:pPr>
              <w:spacing w:line="300" w:lineRule="auto"/>
              <w:ind w:firstLine="0"/>
            </w:pPr>
            <w:r>
              <w:rPr>
                <w:color w:val="000000"/>
              </w:rPr>
              <w:t>PostgreSQL 16 Docker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08DF676">
            <w:pPr>
              <w:spacing w:line="300" w:lineRule="auto"/>
              <w:ind w:firstLine="0"/>
            </w:pPr>
            <w:r>
              <w:rPr>
                <w:color w:val="000000"/>
              </w:rPr>
              <w:t>数据存储和查询优化</w:t>
            </w:r>
          </w:p>
        </w:tc>
      </w:tr>
      <w:tr w14:paraId="62C09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C5456F">
            <w:pPr>
              <w:spacing w:line="300" w:lineRule="auto"/>
              <w:ind w:firstLine="0"/>
            </w:pPr>
            <w:r>
              <w:rPr>
                <w:color w:val="000000"/>
              </w:rPr>
              <w:t>测试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6057603">
            <w:pPr>
              <w:spacing w:line="300" w:lineRule="auto"/>
              <w:ind w:firstLine="0"/>
            </w:pPr>
            <w:r>
              <w:rPr>
                <w:color w:val="000000"/>
              </w:rPr>
              <w:t>Python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8D1DE5">
            <w:pPr>
              <w:spacing w:line="300" w:lineRule="auto"/>
              <w:ind w:firstLine="0"/>
            </w:pPr>
            <w:r>
              <w:rPr>
                <w:color w:val="000000"/>
              </w:rPr>
              <w:t>并发测试与性能统计</w:t>
            </w:r>
          </w:p>
        </w:tc>
      </w:tr>
    </w:tbl>
    <w:p w14:paraId="7A08EC44">
      <w:pPr>
        <w:pStyle w:val="4"/>
        <w:spacing w:before="0" w:after="0"/>
        <w:ind w:firstLine="0"/>
      </w:pPr>
      <w:bookmarkStart w:id="60" w:name="__RefHeading___Toc5863_2153205702"/>
      <w:bookmarkEnd w:id="60"/>
      <w:bookmarkStart w:id="61" w:name="_Toc234332071"/>
      <w:r>
        <w:rPr>
          <w:rFonts w:ascii="Times New Roman" w:hAnsi="Times New Roman" w:eastAsia="黑体"/>
          <w:color w:val="000000"/>
        </w:rPr>
        <w:t>6.3 前端实现</w:t>
      </w:r>
      <w:bookmarkEnd w:id="61"/>
    </w:p>
    <w:p w14:paraId="6B22DDE2">
      <w:pPr>
        <w:spacing w:after="0"/>
      </w:pPr>
      <w:r>
        <w:t>前端采用 Vue 3 + Vite + JavaScript 构建单页应用，使用 Element Plus 实现表单、表格、菜单、标签和上传下载等基础交互，使用 Vue Router 管理页面路由，使用 Pinia 保存登录状态，使用 Axios 统一封装接口请求，使用 ECharts 展示 TPC-H、订单收入和性能分析图表。</w:t>
      </w:r>
    </w:p>
    <w:p w14:paraId="5EF0CB26">
      <w:pPr>
        <w:spacing w:after="0"/>
      </w:pPr>
      <w:r>
        <w:t>前端工程按职责划分为 api、mock、router、stores、components 和 views 等目录。api 层按 auth、user、importExport、query、tpch、tpcc、performance 和 dashboard 等模块封装接口；mock 层提供与 API 契约一致的本地数据；components 层沉淀指标卡、图表面板、结果表格和状态标签；views 层实现各业务页面。</w:t>
      </w:r>
    </w:p>
    <w:p w14:paraId="444EDAAF">
      <w:pPr>
        <w:spacing w:after="0"/>
      </w:pPr>
      <w:r>
        <w:t>页面范围覆盖登录注册、系统总览、用户管理、数据导入、数据导出、客户查询、订单收入查询、零部件供应查询、TPC-H Q1/Q5/Q12/Q14 分析、TPC-C New-Order、TPC-C Payment 和性能分析。系统总览页展示数据库规模、表数量、模块状态和核心指标；业务查询页提供筛选条件和分页表格；统计分析页同时展示参数、耗时、表格和图表；事务页面突出 committed 状态、事务编号、订单号、余额和耗时等结果。</w:t>
      </w:r>
    </w:p>
    <w:p w14:paraId="209B4B03">
      <w:pPr>
        <w:spacing w:after="0"/>
      </w:pPr>
      <w:r>
        <w:t>请求层使用统一 Axios 实例处理 baseURL、响应解包和错误提示。登录成功后，前端将 token、用户编号、用户名、角色和状态保存到 Pinia 与 localStorage 中；后续真实接口请求自动携带 Authorization: Bearer &lt;token&gt;。路由层通过 meta.requiresAdmin 控制用户管理、数据导入和数据导出等管理员页面，普通用户访问管理员入口时会回到系统总览。</w:t>
      </w:r>
    </w:p>
    <w:p w14:paraId="75631337">
      <w:pPr>
        <w:spacing w:after="0"/>
      </w:pPr>
      <w:r>
        <w:t>前端支持 Mock 演示和真实后端联调两种模式。默认情况下使用前端 Mock 数据，不启动后端也可以完成课程演示；当设置 VITE_USE_MOCK=false 时，Vite 将 /api 请求代理到 http://localhost:8080，与 Spring Boot 后端和 PostgreSQL dev 环境联调。该设计保证了前后端可以并行开发，也避免数据库环境未准备完成时阻塞页面验收。</w:t>
      </w:r>
    </w:p>
    <w:p w14:paraId="2889EA10">
      <w:pPr>
        <w:spacing w:after="0"/>
      </w:pPr>
      <w:r>
        <w:t>字段处理严格遵守冻结契约：前端只读取 API/Mock 的 lowerCamelCase 字段，不直接使用数据库 snake_case 字段。分页结果统一读取 pageNo、pageSize、total 和 records；图表统一读取 chartData；TPC-H Q5 使用 nationName 和 revenue；Q12 使用 shipMode、highLineCount 和 lowLineCount；Q14 使用 promoRevenuePercent；性能页面统一展示 successCount、failCount、throughput、latencySeries 和 throughputSeries。</w:t>
      </w:r>
    </w:p>
    <w:p w14:paraId="1D4321E0">
      <w:pPr>
        <w:spacing w:after="0"/>
      </w:pPr>
      <w:r>
        <w:t>可视化方面，前端实现了 Q1 汇总费用柱状图、Q5 国家收入柱状图、Q12 高低优先级堆叠柱状图、Q14 促销收入占比图、订单收入柱状图以及并发线程数与平均延迟/吞吐量组合图。图表颜色、卡片样式和交互反馈保持统一，使系统演示时既能体现数据库查询结果，又能直观看到性能指标变化。</w:t>
      </w:r>
    </w:p>
    <w:p w14:paraId="2CC17E15">
      <w:pPr>
        <w:spacing w:after="0"/>
      </w:pPr>
      <w:r>
        <w:t>最终联调中，前端以 VITE_USE_MOCK=false 连接真实后端 dev profile，逐页检查系统总览、用户管理、业务查询、TPC-H、TPC-C、导入导出和性能分析页面。最新具名截图覆盖登录、数据库总览、Q1/Q5/Q12/Q14 与性能结果；后端全量 HTTP 冒烟共 19 项，失败数为 0。当前验证以真实浏览器人工回归和截图证据为主，尚未建设独立的 Playwright 自动化回归套件。</w:t>
      </w:r>
    </w:p>
    <w:p w14:paraId="5C10D372">
      <w:pPr>
        <w:pStyle w:val="4"/>
        <w:spacing w:before="0" w:after="0"/>
        <w:ind w:firstLine="0"/>
      </w:pPr>
      <w:bookmarkStart w:id="62" w:name="__RefHeading___Toc5865_2153205702"/>
      <w:bookmarkEnd w:id="62"/>
      <w:bookmarkStart w:id="63" w:name="_Toc234332072"/>
      <w:r>
        <w:rPr>
          <w:rFonts w:ascii="Times New Roman" w:hAnsi="Times New Roman" w:eastAsia="黑体"/>
          <w:color w:val="000000"/>
        </w:rPr>
        <w:t>6.4 后端实现</w:t>
      </w:r>
      <w:bookmarkEnd w:id="63"/>
    </w:p>
    <w:p w14:paraId="0C8CB55A">
      <w:pPr>
        <w:spacing w:after="0"/>
      </w:pPr>
      <w:r>
        <w:rPr>
          <w:rFonts w:ascii="Times New Roman" w:hAnsi="Times New Roman" w:eastAsia="Songti SC"/>
          <w:color w:val="000000"/>
        </w:rPr>
        <w:t>后端工程采用 Spring Boot 3.3.7 与 Java 17 实现，代码按 auth、user、importexport、query、dashboard、tpch、tpcc、performance 和 health 等模块组织。Controller 负责请求映射与参数校验，Service 负责业务规则和事务边界，JDBC/MyBatis 负责数据库访问，DTO/VO 用于隔离接口模型与数据库模型。</w:t>
      </w:r>
    </w:p>
    <w:p w14:paraId="418DBFDE">
      <w:pPr>
        <w:spacing w:after="0"/>
      </w:pPr>
      <w:r>
        <w:rPr>
          <w:rFonts w:ascii="Times New Roman" w:hAnsi="Times New Roman" w:eastAsia="Songti SC"/>
          <w:color w:val="000000"/>
        </w:rPr>
        <w:t>系统实现了统一响应与异常处理、登录鉴权、用户管理、数据导入导出、业务查询、系统总览、TPC-H Q1/Q5/Q12/Q14、TPC-C New-Order/Payment 和性能结果读取接口。mock profile 支持无数据库演示，dev/prod profile 连接 PostgreSQL；两种环境保持一致的接口路径和响应字段，便于页面联调。</w:t>
      </w:r>
    </w:p>
    <w:p w14:paraId="5AE50C4D">
      <w:pPr>
        <w:spacing w:after="0"/>
      </w:pPr>
      <w:r>
        <w:rPr>
          <w:rFonts w:ascii="Times New Roman" w:hAnsi="Times New Roman" w:eastAsia="Songti SC"/>
          <w:color w:val="000000"/>
        </w:rPr>
        <w:t>在字段映射方面，MyBatis 配置 map-underscore-to-camel-case，JDBC 查询则显式读取 snake_case 别名并构造 lowerCamelCase VO。该约束确保 SQL 源资产可按数据库命名规范维护，同时使 REST JSON 保持稳定。</w:t>
      </w:r>
    </w:p>
    <w:p w14:paraId="44B9BE2B">
      <w:pPr>
        <w:spacing w:after="0"/>
      </w:pPr>
      <w:r>
        <w:rPr>
          <w:rFonts w:ascii="Times New Roman" w:hAnsi="Times New Roman" w:eastAsia="Songti SC"/>
          <w:color w:val="000000"/>
        </w:rPr>
        <w:t>后端测试覆盖健康检查、认证、用户、导入导出、业务查询、TPC-H、TPC-C、性能接口、profile 隔离和事务注解规则，共 40 项测试通过；设置 RUN_DEV_INTEGRATION_TESTS=true 后，其中 4 项测试直接连接 PostgreSQL 开发数据库完成真实库验证。</w:t>
      </w:r>
    </w:p>
    <w:p w14:paraId="0D15F79E">
      <w:pPr>
        <w:pStyle w:val="4"/>
        <w:spacing w:before="0" w:after="0"/>
        <w:ind w:firstLine="0"/>
      </w:pPr>
      <w:bookmarkStart w:id="64" w:name="__RefHeading___Toc5867_2153205702"/>
      <w:bookmarkEnd w:id="64"/>
      <w:bookmarkStart w:id="65" w:name="_Toc234332073"/>
      <w:r>
        <w:rPr>
          <w:rFonts w:ascii="Times New Roman" w:hAnsi="Times New Roman" w:eastAsia="黑体"/>
          <w:color w:val="000000"/>
        </w:rPr>
        <w:t>6.5 数据库实现</w:t>
      </w:r>
      <w:bookmarkEnd w:id="65"/>
    </w:p>
    <w:p w14:paraId="1EC92B89">
      <w:pPr>
        <w:spacing w:after="0"/>
        <w:rPr>
          <w:lang w:eastAsia="zh-CN"/>
        </w:rPr>
      </w:pPr>
      <w:r>
        <w:rPr>
          <w:color w:val="000000"/>
        </w:rPr>
        <w:t>数据库核心实现集中维护在 sql/ 与 docs/database/ 目录。SQL 源资产覆盖 TPC-H 建表、TPC-C 建表、应用辅助表、完整性约束、TPC-H 查询、TPC-C 事务模板、导入清洗模板、触发器、存储过程、索引、样例数据和 EXPLAIN 模板。</w:t>
      </w:r>
    </w:p>
    <w:p w14:paraId="2697F705">
      <w:pPr>
        <w:spacing w:after="0"/>
        <w:rPr>
          <w:lang w:eastAsia="zh-CN"/>
        </w:rPr>
      </w:pPr>
      <w:r>
        <w:rPr>
          <w:color w:val="000000"/>
          <w:lang w:eastAsia="zh-CN"/>
        </w:rPr>
        <w:t>数据库实现遵循“SQL 源目录唯一”原则，所有正式 SQL 逻辑均维护在 sql/ 下，Docker 初始化入口只引用这些脚本。SQL 层保留 snake_case 字段别名，后端通过 DTO/VO 或 Mapper ResultMap 映射为 lowerCamelCase API 字段，前端页面不直接依赖数据库字段。</w:t>
      </w:r>
    </w:p>
    <w:p w14:paraId="2EEC42E6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 6-2 数据库与 SQL 源资产实现清单</w:t>
      </w:r>
    </w:p>
    <w:tbl>
      <w:tblPr>
        <w:tblStyle w:val="39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2833"/>
        <w:gridCol w:w="2781"/>
      </w:tblGrid>
      <w:tr w14:paraId="0B6D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248" w:type="dxa"/>
            <w:vAlign w:val="center"/>
          </w:tcPr>
          <w:p w14:paraId="38CF415B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脚本</w:t>
            </w:r>
          </w:p>
        </w:tc>
        <w:tc>
          <w:tcPr>
            <w:tcW w:w="2833" w:type="dxa"/>
            <w:vAlign w:val="center"/>
          </w:tcPr>
          <w:p w14:paraId="020B04B2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主要内容</w:t>
            </w:r>
          </w:p>
        </w:tc>
        <w:tc>
          <w:tcPr>
            <w:tcW w:w="2781" w:type="dxa"/>
            <w:vAlign w:val="center"/>
          </w:tcPr>
          <w:p w14:paraId="7BBFE2D3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报告用途</w:t>
            </w:r>
          </w:p>
        </w:tc>
      </w:tr>
      <w:tr w14:paraId="0851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07D5DACB">
            <w:pPr>
              <w:spacing w:after="0" w:line="300" w:lineRule="auto"/>
              <w:ind w:firstLine="0"/>
            </w:pPr>
            <w:r>
              <w:rPr>
                <w:color w:val="000000"/>
              </w:rPr>
              <w:t>V1__create_tpch_tables.sql</w:t>
            </w:r>
          </w:p>
        </w:tc>
        <w:tc>
          <w:tcPr>
            <w:tcW w:w="2833" w:type="dxa"/>
            <w:vAlign w:val="center"/>
          </w:tcPr>
          <w:p w14:paraId="32374037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创建 TPC-H 8 张核心表</w:t>
            </w:r>
          </w:p>
        </w:tc>
        <w:tc>
          <w:tcPr>
            <w:tcW w:w="2781" w:type="dxa"/>
            <w:vAlign w:val="center"/>
          </w:tcPr>
          <w:p w14:paraId="0CA746BD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数据库逻辑设计、E-R 图说明。</w:t>
            </w:r>
          </w:p>
        </w:tc>
      </w:tr>
      <w:tr w14:paraId="006E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3A063BB0">
            <w:pPr>
              <w:spacing w:after="0" w:line="300" w:lineRule="auto"/>
              <w:ind w:firstLine="0"/>
            </w:pPr>
            <w:r>
              <w:rPr>
                <w:color w:val="000000"/>
              </w:rPr>
              <w:t>V2__create_tpcc_tables.sql</w:t>
            </w:r>
          </w:p>
        </w:tc>
        <w:tc>
          <w:tcPr>
            <w:tcW w:w="2833" w:type="dxa"/>
            <w:vAlign w:val="center"/>
          </w:tcPr>
          <w:p w14:paraId="1C2C9479">
            <w:pPr>
              <w:spacing w:after="0" w:line="300" w:lineRule="auto"/>
              <w:ind w:firstLine="0"/>
            </w:pPr>
            <w:r>
              <w:rPr>
                <w:color w:val="000000"/>
              </w:rPr>
              <w:t>创建 New-Order/Payment 所需 TPC-C 表</w:t>
            </w:r>
          </w:p>
        </w:tc>
        <w:tc>
          <w:tcPr>
            <w:tcW w:w="2781" w:type="dxa"/>
            <w:vAlign w:val="center"/>
          </w:tcPr>
          <w:p w14:paraId="7548AF02">
            <w:pPr>
              <w:spacing w:after="0" w:line="300" w:lineRule="auto"/>
              <w:ind w:firstLine="0"/>
            </w:pPr>
            <w:r>
              <w:rPr>
                <w:color w:val="000000"/>
              </w:rPr>
              <w:t>事务处理设计。</w:t>
            </w:r>
          </w:p>
        </w:tc>
      </w:tr>
      <w:tr w14:paraId="360D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392418B0">
            <w:pPr>
              <w:spacing w:after="0" w:line="300" w:lineRule="auto"/>
              <w:ind w:firstLine="0"/>
            </w:pPr>
            <w:r>
              <w:rPr>
                <w:color w:val="000000"/>
              </w:rPr>
              <w:t>V3__create_app_tables.sql</w:t>
            </w:r>
          </w:p>
        </w:tc>
        <w:tc>
          <w:tcPr>
            <w:tcW w:w="2833" w:type="dxa"/>
            <w:vAlign w:val="center"/>
          </w:tcPr>
          <w:p w14:paraId="38D3ECE8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创建用户、导入、查询、事务、性能和库存日志表</w:t>
            </w:r>
          </w:p>
        </w:tc>
        <w:tc>
          <w:tcPr>
            <w:tcW w:w="2781" w:type="dxa"/>
            <w:vAlign w:val="center"/>
          </w:tcPr>
          <w:p w14:paraId="353464D6">
            <w:pPr>
              <w:spacing w:after="0" w:line="300" w:lineRule="auto"/>
              <w:ind w:firstLine="0"/>
            </w:pPr>
            <w:r>
              <w:rPr>
                <w:color w:val="000000"/>
              </w:rPr>
              <w:t>应用辅助表设计。</w:t>
            </w:r>
          </w:p>
        </w:tc>
      </w:tr>
      <w:tr w14:paraId="2233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33EE5894">
            <w:pPr>
              <w:spacing w:after="0" w:line="300" w:lineRule="auto"/>
              <w:ind w:firstLine="0"/>
            </w:pPr>
            <w:r>
              <w:rPr>
                <w:color w:val="000000"/>
              </w:rPr>
              <w:t>V4__add_constraints.sql</w:t>
            </w:r>
          </w:p>
        </w:tc>
        <w:tc>
          <w:tcPr>
            <w:tcW w:w="2833" w:type="dxa"/>
            <w:vAlign w:val="center"/>
          </w:tcPr>
          <w:p w14:paraId="59C90333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添加主键、外键、CHECK、唯一约束</w:t>
            </w:r>
          </w:p>
        </w:tc>
        <w:tc>
          <w:tcPr>
            <w:tcW w:w="2781" w:type="dxa"/>
            <w:vAlign w:val="center"/>
          </w:tcPr>
          <w:p w14:paraId="0F8CA8C7">
            <w:pPr>
              <w:spacing w:after="0" w:line="300" w:lineRule="auto"/>
              <w:ind w:firstLine="0"/>
            </w:pPr>
            <w:r>
              <w:rPr>
                <w:color w:val="000000"/>
              </w:rPr>
              <w:t>完整性约束说明。</w:t>
            </w:r>
          </w:p>
        </w:tc>
      </w:tr>
      <w:tr w14:paraId="238C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2DDB5B5D">
            <w:pPr>
              <w:spacing w:after="0" w:line="300" w:lineRule="auto"/>
              <w:ind w:firstLine="0"/>
            </w:pPr>
            <w:r>
              <w:rPr>
                <w:color w:val="000000"/>
              </w:rPr>
              <w:t>V5__tpch_queries.sql</w:t>
            </w:r>
          </w:p>
        </w:tc>
        <w:tc>
          <w:tcPr>
            <w:tcW w:w="2833" w:type="dxa"/>
            <w:vAlign w:val="center"/>
          </w:tcPr>
          <w:p w14:paraId="534CBAF4">
            <w:pPr>
              <w:spacing w:after="0" w:line="300" w:lineRule="auto"/>
              <w:ind w:firstLine="0"/>
            </w:pPr>
            <w:r>
              <w:rPr>
                <w:color w:val="000000"/>
              </w:rPr>
              <w:t>提供 Q1/Q5/Q12/Q14 SQL 模板</w:t>
            </w:r>
          </w:p>
        </w:tc>
        <w:tc>
          <w:tcPr>
            <w:tcW w:w="2781" w:type="dxa"/>
            <w:vAlign w:val="center"/>
          </w:tcPr>
          <w:p w14:paraId="41ACF703">
            <w:pPr>
              <w:spacing w:after="0" w:line="300" w:lineRule="auto"/>
              <w:ind w:firstLine="0"/>
            </w:pPr>
            <w:r>
              <w:rPr>
                <w:color w:val="000000"/>
              </w:rPr>
              <w:t>统计分析实现。</w:t>
            </w:r>
          </w:p>
        </w:tc>
      </w:tr>
      <w:tr w14:paraId="655FD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71BE666D">
            <w:pPr>
              <w:spacing w:after="0" w:line="300" w:lineRule="auto"/>
              <w:ind w:firstLine="0"/>
            </w:pPr>
            <w:r>
              <w:rPr>
                <w:color w:val="000000"/>
              </w:rPr>
              <w:t>V6__tpcc_transaction_sql.sql</w:t>
            </w:r>
          </w:p>
        </w:tc>
        <w:tc>
          <w:tcPr>
            <w:tcW w:w="2833" w:type="dxa"/>
            <w:vAlign w:val="center"/>
          </w:tcPr>
          <w:p w14:paraId="306C6334">
            <w:pPr>
              <w:spacing w:after="0" w:line="300" w:lineRule="auto"/>
              <w:ind w:firstLine="0"/>
            </w:pPr>
            <w:r>
              <w:rPr>
                <w:color w:val="000000"/>
              </w:rPr>
              <w:t>提供 New-Order 和 Payment SQL 流程</w:t>
            </w:r>
          </w:p>
        </w:tc>
        <w:tc>
          <w:tcPr>
            <w:tcW w:w="2781" w:type="dxa"/>
            <w:vAlign w:val="center"/>
          </w:tcPr>
          <w:p w14:paraId="49268241">
            <w:pPr>
              <w:spacing w:after="0" w:line="300" w:lineRule="auto"/>
              <w:ind w:firstLine="0"/>
            </w:pPr>
            <w:r>
              <w:rPr>
                <w:color w:val="000000"/>
              </w:rPr>
              <w:t>事务服务交接。</w:t>
            </w:r>
          </w:p>
        </w:tc>
      </w:tr>
      <w:tr w14:paraId="1CC09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281E3EE0">
            <w:pPr>
              <w:spacing w:after="0" w:line="300" w:lineRule="auto"/>
              <w:ind w:firstLine="0"/>
            </w:pPr>
            <w:r>
              <w:rPr>
                <w:color w:val="000000"/>
              </w:rPr>
              <w:t>V7__import_cleaning_rules.sql</w:t>
            </w:r>
          </w:p>
        </w:tc>
        <w:tc>
          <w:tcPr>
            <w:tcW w:w="2833" w:type="dxa"/>
            <w:vAlign w:val="center"/>
          </w:tcPr>
          <w:p w14:paraId="2B5ED950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提供导入清洗 SQL 模板和错误编码</w:t>
            </w:r>
          </w:p>
        </w:tc>
        <w:tc>
          <w:tcPr>
            <w:tcW w:w="2781" w:type="dxa"/>
            <w:vAlign w:val="center"/>
          </w:tcPr>
          <w:p w14:paraId="70C3A5E8">
            <w:pPr>
              <w:spacing w:after="0" w:line="300" w:lineRule="auto"/>
              <w:ind w:firstLine="0"/>
            </w:pPr>
            <w:r>
              <w:rPr>
                <w:color w:val="000000"/>
              </w:rPr>
              <w:t>批量导入设计。</w:t>
            </w:r>
          </w:p>
        </w:tc>
      </w:tr>
      <w:tr w14:paraId="5965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23B7F925">
            <w:pPr>
              <w:spacing w:after="0" w:line="300" w:lineRule="auto"/>
              <w:ind w:firstLine="0"/>
            </w:pPr>
            <w:r>
              <w:rPr>
                <w:color w:val="000000"/>
              </w:rPr>
              <w:t>V8__triggers.sql</w:t>
            </w:r>
          </w:p>
        </w:tc>
        <w:tc>
          <w:tcPr>
            <w:tcW w:w="2833" w:type="dxa"/>
            <w:vAlign w:val="center"/>
          </w:tcPr>
          <w:p w14:paraId="63DDBEA1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实现库存变动和导入任务触发器</w:t>
            </w:r>
          </w:p>
        </w:tc>
        <w:tc>
          <w:tcPr>
            <w:tcW w:w="2781" w:type="dxa"/>
            <w:vAlign w:val="center"/>
          </w:tcPr>
          <w:p w14:paraId="4CE71D8D">
            <w:pPr>
              <w:spacing w:after="0" w:line="300" w:lineRule="auto"/>
              <w:ind w:firstLine="0"/>
            </w:pPr>
            <w:r>
              <w:rPr>
                <w:color w:val="000000"/>
              </w:rPr>
              <w:t>触发器设计。</w:t>
            </w:r>
          </w:p>
        </w:tc>
      </w:tr>
      <w:tr w14:paraId="0C56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24632430">
            <w:pPr>
              <w:spacing w:after="0" w:line="300" w:lineRule="auto"/>
              <w:ind w:firstLine="0"/>
            </w:pPr>
            <w:r>
              <w:rPr>
                <w:color w:val="000000"/>
              </w:rPr>
              <w:t>V9__procedures.sql</w:t>
            </w:r>
          </w:p>
        </w:tc>
        <w:tc>
          <w:tcPr>
            <w:tcW w:w="2833" w:type="dxa"/>
            <w:vAlign w:val="center"/>
          </w:tcPr>
          <w:p w14:paraId="0A700C53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实现 Q5/Q12 相关存储例程</w:t>
            </w:r>
          </w:p>
        </w:tc>
        <w:tc>
          <w:tcPr>
            <w:tcW w:w="2781" w:type="dxa"/>
            <w:vAlign w:val="center"/>
          </w:tcPr>
          <w:p w14:paraId="07957930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数据库侧分析能力。</w:t>
            </w:r>
          </w:p>
        </w:tc>
      </w:tr>
      <w:tr w14:paraId="7A96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7BE70CAF">
            <w:pPr>
              <w:spacing w:after="0" w:line="300" w:lineRule="auto"/>
              <w:ind w:firstLine="0"/>
            </w:pPr>
            <w:r>
              <w:rPr>
                <w:color w:val="000000"/>
              </w:rPr>
              <w:t>V10__indexes_baseline.sql</w:t>
            </w:r>
          </w:p>
        </w:tc>
        <w:tc>
          <w:tcPr>
            <w:tcW w:w="2833" w:type="dxa"/>
            <w:vAlign w:val="center"/>
          </w:tcPr>
          <w:p w14:paraId="69DE904E">
            <w:pPr>
              <w:spacing w:after="0" w:line="300" w:lineRule="auto"/>
              <w:ind w:firstLine="0"/>
            </w:pPr>
            <w:r>
              <w:rPr>
                <w:color w:val="000000"/>
              </w:rPr>
              <w:t>创建基线索引</w:t>
            </w:r>
          </w:p>
        </w:tc>
        <w:tc>
          <w:tcPr>
            <w:tcW w:w="2781" w:type="dxa"/>
            <w:vAlign w:val="center"/>
          </w:tcPr>
          <w:p w14:paraId="1A52EE8F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查询优化与性能分析。</w:t>
            </w:r>
          </w:p>
        </w:tc>
      </w:tr>
      <w:tr w14:paraId="26CF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7F589576">
            <w:pPr>
              <w:spacing w:after="0" w:line="300" w:lineRule="auto"/>
              <w:ind w:firstLine="0"/>
            </w:pPr>
            <w:r>
              <w:rPr>
                <w:color w:val="000000"/>
              </w:rPr>
              <w:t>V11__sample_data.sql</w:t>
            </w:r>
          </w:p>
        </w:tc>
        <w:tc>
          <w:tcPr>
            <w:tcW w:w="2833" w:type="dxa"/>
            <w:vAlign w:val="center"/>
          </w:tcPr>
          <w:p w14:paraId="046ADDB6">
            <w:pPr>
              <w:spacing w:after="0" w:line="300" w:lineRule="auto"/>
              <w:ind w:firstLine="0"/>
            </w:pPr>
            <w:r>
              <w:rPr>
                <w:color w:val="000000"/>
              </w:rPr>
              <w:t>插入本地样例数据</w:t>
            </w:r>
          </w:p>
        </w:tc>
        <w:tc>
          <w:tcPr>
            <w:tcW w:w="2781" w:type="dxa"/>
            <w:vAlign w:val="center"/>
          </w:tcPr>
          <w:p w14:paraId="12C83CC0">
            <w:pPr>
              <w:spacing w:after="0" w:line="300" w:lineRule="auto"/>
              <w:ind w:firstLine="0"/>
            </w:pPr>
            <w:r>
              <w:rPr>
                <w:color w:val="000000"/>
              </w:rPr>
              <w:t>本地验证与演示。</w:t>
            </w:r>
          </w:p>
        </w:tc>
      </w:tr>
      <w:tr w14:paraId="1DD6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7C2ECABE">
            <w:pPr>
              <w:spacing w:after="0" w:line="300" w:lineRule="auto"/>
              <w:ind w:firstLine="0"/>
            </w:pPr>
            <w:r>
              <w:rPr>
                <w:color w:val="000000"/>
              </w:rPr>
              <w:t>V12__explain_baseline.sql</w:t>
            </w:r>
          </w:p>
        </w:tc>
        <w:tc>
          <w:tcPr>
            <w:tcW w:w="2833" w:type="dxa"/>
            <w:vAlign w:val="center"/>
          </w:tcPr>
          <w:p w14:paraId="2A24D8C1">
            <w:pPr>
              <w:spacing w:after="0" w:line="300" w:lineRule="auto"/>
              <w:ind w:firstLine="0"/>
            </w:pPr>
            <w:r>
              <w:rPr>
                <w:color w:val="000000"/>
              </w:rPr>
              <w:t>提供 EXPLAIN ANALYZE 模板</w:t>
            </w:r>
          </w:p>
        </w:tc>
        <w:tc>
          <w:tcPr>
            <w:tcW w:w="2781" w:type="dxa"/>
            <w:vAlign w:val="center"/>
          </w:tcPr>
          <w:p w14:paraId="629C3628">
            <w:pPr>
              <w:spacing w:after="0" w:line="300" w:lineRule="auto"/>
              <w:ind w:firstLine="0"/>
            </w:pPr>
            <w:r>
              <w:rPr>
                <w:color w:val="000000"/>
              </w:rPr>
              <w:t>执行计划分析。</w:t>
            </w:r>
          </w:p>
        </w:tc>
      </w:tr>
      <w:tr w14:paraId="1DD6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48" w:type="dxa"/>
            <w:vAlign w:val="center"/>
          </w:tcPr>
          <w:p w14:paraId="7C2ECABE">
            <w:pPr>
              <w:spacing w:after="0" w:line="300" w:lineRule="auto"/>
              <w:ind w:firstLine="0"/>
            </w:pPr>
            <w:r>
              <w:rPr>
                <w:color w:val="000000"/>
              </w:rPr>
              <w:t>V13__migrate_legacy_stock_change_log.sql</w:t>
            </w:r>
          </w:p>
        </w:tc>
        <w:tc>
          <w:tcPr>
            <w:tcW w:w="2833" w:type="dxa"/>
            <w:vAlign w:val="center"/>
          </w:tcPr>
          <w:p w14:paraId="2A24D8C1">
            <w:pPr>
              <w:spacing w:after="0" w:line="300" w:lineRule="auto"/>
              <w:ind w:firstLine="0"/>
            </w:pPr>
            <w:r>
              <w:rPr>
                <w:color w:val="000000"/>
              </w:rPr>
              <w:t>迁移旧字段并刷新库存变更触发器</w:t>
            </w:r>
          </w:p>
        </w:tc>
        <w:tc>
          <w:tcPr>
            <w:tcW w:w="2781" w:type="dxa"/>
            <w:vAlign w:val="center"/>
          </w:tcPr>
          <w:p w14:paraId="629C3628">
            <w:pPr>
              <w:spacing w:after="0" w:line="300" w:lineRule="auto"/>
              <w:ind w:firstLine="0"/>
            </w:pPr>
            <w:r>
              <w:rPr>
                <w:color w:val="000000"/>
              </w:rPr>
              <w:t>新旧数据卷兼容升级。</w:t>
            </w:r>
          </w:p>
        </w:tc>
      </w:tr>
    </w:tbl>
    <w:p w14:paraId="4CAF50D3">
      <w:pPr>
        <w:pStyle w:val="4"/>
        <w:spacing w:before="0" w:after="0"/>
        <w:ind w:firstLine="0"/>
        <w:rPr>
          <w:lang w:eastAsia="zh-CN"/>
        </w:rPr>
      </w:pPr>
      <w:bookmarkStart w:id="66" w:name="__RefHeading___Toc5869_2153205702"/>
      <w:bookmarkEnd w:id="66"/>
      <w:bookmarkStart w:id="67" w:name="_Toc234332074"/>
      <w:r>
        <w:rPr>
          <w:rFonts w:ascii="Times New Roman" w:hAnsi="Times New Roman" w:eastAsia="黑体"/>
          <w:color w:val="000000"/>
          <w:lang w:eastAsia="zh-CN"/>
        </w:rPr>
        <w:t>6.6 Docker 与正式数据导入实现</w:t>
      </w:r>
      <w:bookmarkEnd w:id="67"/>
    </w:p>
    <w:p w14:paraId="7CBC7C46">
      <w:pPr>
        <w:spacing w:after="0"/>
        <w:rPr>
          <w:lang w:eastAsia="zh-CN"/>
        </w:rPr>
      </w:pPr>
      <w:r>
        <w:t>Docker 初始化链路由 db/docker-compose.yml、db/init/00_run_sql_assets.sh 和 sql/V*.sql 共同构成。PostgreSQL 16 运行在 Docker Desktop 中，容器只挂载统一 SQL 源资产目录。新数据卷在常规模式下执行到 V13；正式 COPY 模式通过 DEFER_POST_COPY_ASSETS=true 只先执行 V1/V2/V3，待数据装载后再补充约束、触发器、存储过程、V13 兼容迁移和可选基线索引。</w:t>
      </w:r>
    </w:p>
    <w:p>
      <w:r>
        <w:t>正式数据导入通过 db/scripts/load-tpch.ps1 执行。脚本按 region、nation、supplier、customer、part、partsupp、orders、lineitem 的依赖顺序 COPY，并在导入前移除 .tbl 每行末尾的多余竖线，避免形成额外空字段。-FinalizeSchema 用于执行 V4/V8/V9/V13，-LoadBaselineIndexes 用于最后加载 V10。已有数据卷由 migrate-db.ps1 非破坏性升级；reset-db.ps1 属于破坏性操作，未显式传入 -Force 时只打印风险并退出。</w:t>
      </w:r>
    </w:p>
    <w:p>
      <w:r>
        <w:t>正式验证采用 dbgen 2.17.2 生成的 TPC-H SF=0.1 数据。导入后 region=5、nation=25、supplier=1,000、customer=15,000、part=20,000、partsupp=80,000、orders=150,000、lineitem=600,572，TPC-H 八表合计 866,602 行。重置、导入、迁移和行数日志分别归档在 report/import_logs，截图采用具名文件保存。</w:t>
      </w:r>
    </w:p>
    <w:p w14:paraId="65F89086"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5142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docker_v13_copy_environ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3331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tpch_sf01_row_cou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CD51B4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6-1 Docker、V13/COPY 环境检查与 SF=0.1 行数验证截图</w:t>
      </w:r>
    </w:p>
    <w:p w14:paraId="25C7B850">
      <w:pPr>
        <w:pStyle w:val="4"/>
        <w:spacing w:before="0" w:after="0"/>
        <w:ind w:firstLine="0"/>
        <w:rPr>
          <w:lang w:eastAsia="zh-CN"/>
        </w:rPr>
      </w:pPr>
      <w:bookmarkStart w:id="68" w:name="__RefHeading___Toc5871_2153205702"/>
      <w:bookmarkEnd w:id="68"/>
      <w:bookmarkStart w:id="69" w:name="_Toc234332075"/>
      <w:r>
        <w:rPr>
          <w:rFonts w:ascii="Times New Roman" w:hAnsi="Times New Roman" w:eastAsia="黑体"/>
          <w:color w:val="000000"/>
          <w:lang w:eastAsia="zh-CN"/>
        </w:rPr>
        <w:t>6.7 TPC-H 统计分析实现</w:t>
      </w:r>
      <w:bookmarkEnd w:id="69"/>
    </w:p>
    <w:p w14:paraId="79F6901A">
      <w:pPr>
        <w:spacing w:after="0"/>
        <w:jc w:val="center"/>
      </w:pPr>
      <w:r>
        <w:drawing>
          <wp:inline distT="0" distB="0" distL="0" distR="0">
            <wp:extent cx="5669280" cy="2320290"/>
            <wp:effectExtent l="0" t="0" r="0" b="0"/>
            <wp:docPr id="17" name="Picture 13" descr="6.7 TPC-H 统计分析实现" title="6.7 TPC-H 统计分析实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33ABF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6-2 TPC-H Q5 统计分析 SQL 代码片段</w:t>
      </w:r>
    </w:p>
    <w:p w14:paraId="2DF16A42">
      <w:pPr>
        <w:spacing w:after="0"/>
        <w:rPr>
          <w:lang w:eastAsia="zh-CN"/>
        </w:rPr>
      </w:pPr>
      <w:r>
        <w:rPr>
          <w:color w:val="000000"/>
          <w:lang w:eastAsia="zh-CN"/>
        </w:rPr>
        <w:t>TPC-H 查询脚本能够按退货标志、明细状态、国家和促销收入等维度返回聚合结果，相关截图用于证明分析查询已成功执行并产生有效输出。</w:t>
      </w:r>
    </w:p>
    <w:p w14:paraId="21863AA6">
      <w:pPr>
        <w:spacing w:after="0"/>
        <w:jc w:val="center"/>
      </w:pPr>
      <w:r>
        <w:drawing>
          <wp:inline distT="0" distB="0" distL="0" distR="0">
            <wp:extent cx="5669280" cy="2663190"/>
            <wp:effectExtent l="0" t="0" r="0" b="0"/>
            <wp:docPr id="18" name="Picture 14" descr="TPC-H 查询脚本能够按退货标志、明细状态、国家和促销收入等维度返回聚合结果，相关截图用于证明分析查询已成功执行并产生有效输出。" title="TPC-H 查询脚本能够按退货标志、明细状态、国家和促销收入等维度返回聚合结果，相关截图用于证明分析查询已成功执行并产生有效输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4C686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6-3 TPC-H 查询执行结果验证截图</w:t>
      </w:r>
    </w:p>
    <w:p w14:paraId="41C0E2D0">
      <w:pPr>
        <w:spacing w:after="0"/>
        <w:rPr>
          <w:lang w:eastAsia="zh-CN"/>
        </w:rPr>
      </w:pPr>
      <w:r>
        <w:rPr>
          <w:color w:val="000000"/>
          <w:lang w:eastAsia="zh-CN"/>
        </w:rPr>
        <w:t>TPC-H 统计分析提供 Q1、Q5、Q12、Q14 四条 SQL 查询资产。各查询采用 PREPARE 形式，便于在 PostgreSQL 中独立校验；脚本注释和查询契约同时给出 SQL 输出别名与 API 字段的映射关系。后端在 MyBatis/JDBC 中复用 SELECT 主体，前端依据 lowerCamelCase 响应字段渲染表格和图表。</w:t>
      </w:r>
    </w:p>
    <w:p w14:paraId="1FCA2121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 6-3 TPC-H 统计分析 SQL 实现清单</w:t>
      </w:r>
    </w:p>
    <w:tbl>
      <w:tblPr>
        <w:tblStyle w:val="39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2158"/>
        <w:gridCol w:w="2403"/>
        <w:gridCol w:w="2150"/>
      </w:tblGrid>
      <w:tr w14:paraId="3ABC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150" w:type="dxa"/>
            <w:vAlign w:val="center"/>
          </w:tcPr>
          <w:p w14:paraId="2865A11E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查询</w:t>
            </w:r>
          </w:p>
        </w:tc>
        <w:tc>
          <w:tcPr>
            <w:tcW w:w="2158" w:type="dxa"/>
            <w:vAlign w:val="center"/>
          </w:tcPr>
          <w:p w14:paraId="5DE2C33B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输入参数</w:t>
            </w:r>
          </w:p>
        </w:tc>
        <w:tc>
          <w:tcPr>
            <w:tcW w:w="2403" w:type="dxa"/>
            <w:vAlign w:val="center"/>
          </w:tcPr>
          <w:p w14:paraId="5F688546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输出字段</w:t>
            </w:r>
          </w:p>
        </w:tc>
        <w:tc>
          <w:tcPr>
            <w:tcW w:w="2150" w:type="dxa"/>
            <w:vAlign w:val="center"/>
          </w:tcPr>
          <w:p w14:paraId="47CDBC46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页面展示建议</w:t>
            </w:r>
          </w:p>
        </w:tc>
      </w:tr>
      <w:tr w14:paraId="7C64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50" w:type="dxa"/>
            <w:vAlign w:val="center"/>
          </w:tcPr>
          <w:p w14:paraId="73740CDB">
            <w:pPr>
              <w:spacing w:after="0" w:line="300" w:lineRule="auto"/>
              <w:ind w:firstLine="0"/>
            </w:pPr>
            <w:r>
              <w:rPr>
                <w:color w:val="000000"/>
              </w:rPr>
              <w:t>Q1 定价汇总</w:t>
            </w:r>
          </w:p>
        </w:tc>
        <w:tc>
          <w:tcPr>
            <w:tcW w:w="2158" w:type="dxa"/>
            <w:vAlign w:val="center"/>
          </w:tcPr>
          <w:p w14:paraId="461E1316">
            <w:pPr>
              <w:spacing w:after="0" w:line="300" w:lineRule="auto"/>
              <w:ind w:firstLine="0"/>
            </w:pPr>
            <w:r>
              <w:rPr>
                <w:color w:val="000000"/>
              </w:rPr>
              <w:t>shipDate</w:t>
            </w:r>
          </w:p>
        </w:tc>
        <w:tc>
          <w:tcPr>
            <w:tcW w:w="2403" w:type="dxa"/>
            <w:vAlign w:val="center"/>
          </w:tcPr>
          <w:p w14:paraId="0ACF11A1">
            <w:pPr>
              <w:spacing w:after="0" w:line="300" w:lineRule="auto"/>
              <w:ind w:firstLine="0"/>
            </w:pPr>
            <w:r>
              <w:rPr>
                <w:color w:val="000000"/>
              </w:rPr>
              <w:t>returnFlag、lineStatus、sumQuantity、sumBasePrice、sumCharge 等</w:t>
            </w:r>
          </w:p>
        </w:tc>
        <w:tc>
          <w:tcPr>
            <w:tcW w:w="2150" w:type="dxa"/>
            <w:vAlign w:val="center"/>
          </w:tcPr>
          <w:p w14:paraId="44E410C6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分组表格、汇总柱状图。</w:t>
            </w:r>
          </w:p>
        </w:tc>
      </w:tr>
      <w:tr w14:paraId="6D4D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50" w:type="dxa"/>
            <w:vAlign w:val="center"/>
          </w:tcPr>
          <w:p w14:paraId="30E1F0BD">
            <w:pPr>
              <w:spacing w:after="0" w:line="300" w:lineRule="auto"/>
              <w:ind w:firstLine="0"/>
            </w:pPr>
            <w:r>
              <w:rPr>
                <w:color w:val="000000"/>
              </w:rPr>
              <w:t>Q5 地区收入</w:t>
            </w:r>
          </w:p>
        </w:tc>
        <w:tc>
          <w:tcPr>
            <w:tcW w:w="2158" w:type="dxa"/>
            <w:vAlign w:val="center"/>
          </w:tcPr>
          <w:p w14:paraId="66DD5335">
            <w:pPr>
              <w:spacing w:after="0" w:line="300" w:lineRule="auto"/>
              <w:ind w:firstLine="0"/>
            </w:pPr>
            <w:r>
              <w:rPr>
                <w:color w:val="000000"/>
              </w:rPr>
              <w:t>regionName、startDate、endDate</w:t>
            </w:r>
          </w:p>
        </w:tc>
        <w:tc>
          <w:tcPr>
            <w:tcW w:w="2403" w:type="dxa"/>
            <w:vAlign w:val="center"/>
          </w:tcPr>
          <w:p w14:paraId="53CDFC35">
            <w:pPr>
              <w:spacing w:after="0" w:line="300" w:lineRule="auto"/>
              <w:ind w:firstLine="0"/>
            </w:pPr>
            <w:r>
              <w:rPr>
                <w:color w:val="000000"/>
              </w:rPr>
              <w:t>nationName、revenue</w:t>
            </w:r>
          </w:p>
        </w:tc>
        <w:tc>
          <w:tcPr>
            <w:tcW w:w="2150" w:type="dxa"/>
            <w:vAlign w:val="center"/>
          </w:tcPr>
          <w:p w14:paraId="205162EF">
            <w:pPr>
              <w:spacing w:after="0" w:line="300" w:lineRule="auto"/>
              <w:ind w:firstLine="0"/>
            </w:pPr>
            <w:r>
              <w:rPr>
                <w:color w:val="000000"/>
              </w:rPr>
              <w:t>国家收入柱状图。</w:t>
            </w:r>
          </w:p>
        </w:tc>
      </w:tr>
      <w:tr w14:paraId="4420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50" w:type="dxa"/>
            <w:vAlign w:val="center"/>
          </w:tcPr>
          <w:p w14:paraId="455C0171">
            <w:pPr>
              <w:spacing w:after="0" w:line="300" w:lineRule="auto"/>
              <w:ind w:firstLine="0"/>
            </w:pPr>
            <w:r>
              <w:rPr>
                <w:color w:val="000000"/>
              </w:rPr>
              <w:t>Q12 运送方式优先级</w:t>
            </w:r>
          </w:p>
        </w:tc>
        <w:tc>
          <w:tcPr>
            <w:tcW w:w="2158" w:type="dxa"/>
            <w:vAlign w:val="center"/>
          </w:tcPr>
          <w:p w14:paraId="75B02F2E">
            <w:pPr>
              <w:spacing w:after="0" w:line="300" w:lineRule="auto"/>
              <w:ind w:firstLine="0"/>
            </w:pPr>
            <w:r>
              <w:rPr>
                <w:color w:val="000000"/>
              </w:rPr>
              <w:t>shipMode1、shipMode2、startDate、endDate</w:t>
            </w:r>
          </w:p>
        </w:tc>
        <w:tc>
          <w:tcPr>
            <w:tcW w:w="2403" w:type="dxa"/>
            <w:vAlign w:val="center"/>
          </w:tcPr>
          <w:p w14:paraId="030EDD78">
            <w:pPr>
              <w:spacing w:after="0" w:line="300" w:lineRule="auto"/>
              <w:ind w:firstLine="0"/>
            </w:pPr>
            <w:r>
              <w:rPr>
                <w:color w:val="000000"/>
              </w:rPr>
              <w:t>shipMode、highLineCount、lowLineCount</w:t>
            </w:r>
          </w:p>
        </w:tc>
        <w:tc>
          <w:tcPr>
            <w:tcW w:w="2150" w:type="dxa"/>
            <w:vAlign w:val="center"/>
          </w:tcPr>
          <w:p w14:paraId="6C52EB7B">
            <w:pPr>
              <w:spacing w:after="0" w:line="300" w:lineRule="auto"/>
              <w:ind w:firstLine="0"/>
            </w:pPr>
            <w:r>
              <w:rPr>
                <w:color w:val="000000"/>
              </w:rPr>
              <w:t>堆叠柱状图。</w:t>
            </w:r>
          </w:p>
        </w:tc>
      </w:tr>
      <w:tr w14:paraId="16BD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50" w:type="dxa"/>
            <w:vAlign w:val="center"/>
          </w:tcPr>
          <w:p w14:paraId="35573674">
            <w:pPr>
              <w:spacing w:after="0" w:line="300" w:lineRule="auto"/>
              <w:ind w:firstLine="0"/>
            </w:pPr>
            <w:r>
              <w:rPr>
                <w:color w:val="000000"/>
              </w:rPr>
              <w:t>Q14 促销效果</w:t>
            </w:r>
          </w:p>
        </w:tc>
        <w:tc>
          <w:tcPr>
            <w:tcW w:w="2158" w:type="dxa"/>
            <w:vAlign w:val="center"/>
          </w:tcPr>
          <w:p w14:paraId="6DD0DA0D">
            <w:pPr>
              <w:spacing w:after="0" w:line="300" w:lineRule="auto"/>
              <w:ind w:firstLine="0"/>
            </w:pPr>
            <w:r>
              <w:rPr>
                <w:color w:val="000000"/>
              </w:rPr>
              <w:t>month</w:t>
            </w:r>
          </w:p>
        </w:tc>
        <w:tc>
          <w:tcPr>
            <w:tcW w:w="2403" w:type="dxa"/>
            <w:vAlign w:val="center"/>
          </w:tcPr>
          <w:p w14:paraId="004A23BB">
            <w:pPr>
              <w:spacing w:after="0" w:line="300" w:lineRule="auto"/>
              <w:ind w:firstLine="0"/>
            </w:pPr>
            <w:r>
              <w:rPr>
                <w:color w:val="000000"/>
              </w:rPr>
              <w:t>promoRevenuePercent</w:t>
            </w:r>
          </w:p>
        </w:tc>
        <w:tc>
          <w:tcPr>
            <w:tcW w:w="2150" w:type="dxa"/>
            <w:vAlign w:val="center"/>
          </w:tcPr>
          <w:p w14:paraId="37496BEA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饼图、仪表盘或指标卡。</w:t>
            </w:r>
          </w:p>
        </w:tc>
      </w:tr>
    </w:tbl>
    <w:p w14:paraId="09519144">
      <w:pPr>
        <w:pStyle w:val="4"/>
        <w:spacing w:before="0" w:after="0"/>
        <w:ind w:firstLine="0"/>
      </w:pPr>
      <w:bookmarkStart w:id="70" w:name="__RefHeading___Toc5873_2153205702"/>
      <w:bookmarkEnd w:id="70"/>
      <w:bookmarkStart w:id="71" w:name="_Toc234332076"/>
      <w:r>
        <w:rPr>
          <w:rFonts w:ascii="Times New Roman" w:hAnsi="Times New Roman" w:eastAsia="黑体"/>
          <w:color w:val="000000"/>
        </w:rPr>
        <w:t>6.8 TPC-C 事务处理实现</w:t>
      </w:r>
      <w:bookmarkEnd w:id="71"/>
    </w:p>
    <w:p w14:paraId="193E90A8">
      <w:pPr>
        <w:spacing w:after="0"/>
        <w:jc w:val="center"/>
      </w:pPr>
      <w:r>
        <w:drawing>
          <wp:inline distT="0" distB="0" distL="0" distR="0">
            <wp:extent cx="5669280" cy="1980565"/>
            <wp:effectExtent l="0" t="0" r="0" b="0"/>
            <wp:docPr id="19" name="Picture 15" descr="6.8 TPC-C 事务处理实现" title="6.8 TPC-C 事务处理实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0444B">
      <w:pPr>
        <w:spacing w:after="0"/>
        <w:jc w:val="center"/>
      </w:pPr>
      <w:r>
        <w:rPr>
          <w:color w:val="000000"/>
          <w:sz w:val="21"/>
        </w:rPr>
        <w:t>图 6-4 New-Order 库存扣减 SQL 代码片段</w:t>
      </w:r>
    </w:p>
    <w:p w14:paraId="0C889AC3">
      <w:pPr>
        <w:spacing w:after="0"/>
      </w:pPr>
      <w:r>
        <w:rPr>
          <w:color w:val="000000"/>
        </w:rPr>
        <w:t>New-Order 演示记录了订单写入、库存扣减和 stock_change_log 审计结果，能够体现事务成功提交后的持久化效果。</w:t>
      </w:r>
    </w:p>
    <w:p w14:paraId="6FA5D014">
      <w:pPr>
        <w:spacing w:after="0"/>
        <w:jc w:val="center"/>
      </w:pPr>
      <w:r>
        <w:drawing>
          <wp:inline distT="0" distB="0" distL="0" distR="0">
            <wp:extent cx="5669280" cy="4887595"/>
            <wp:effectExtent l="0" t="0" r="0" b="0"/>
            <wp:docPr id="20" name="Picture 16" descr="New-Order 演示记录了订单写入、库存扣减和 stock_change_log 审计结果，能够体现事务成功提交后的持久化效果。" title="New-Order 演示记录了订单写入、库存扣减和 stock_change_log 审计结果，能够体现事务成功提交后的持久化效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C73AB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6-5 New-Order 事务与库存变更日志验证截图</w:t>
      </w:r>
    </w:p>
    <w:p w14:paraId="0F5E5040">
      <w:pPr>
        <w:spacing w:after="0"/>
        <w:rPr>
          <w:lang w:eastAsia="zh-CN"/>
        </w:rPr>
      </w:pPr>
      <w:r>
        <w:rPr>
          <w:color w:val="000000"/>
          <w:lang w:eastAsia="zh-CN"/>
        </w:rPr>
        <w:t>Payment 演示记录了客户余额、仓库/地区收款金额和支付历史写入结果，用于支撑支付事务处理正确性说明。</w:t>
      </w:r>
    </w:p>
    <w:p w14:paraId="303954A8">
      <w:pPr>
        <w:spacing w:after="0"/>
        <w:jc w:val="center"/>
      </w:pPr>
      <w:r>
        <w:drawing>
          <wp:inline distT="0" distB="0" distL="0" distR="0">
            <wp:extent cx="5669280" cy="4691380"/>
            <wp:effectExtent l="0" t="0" r="0" b="0"/>
            <wp:docPr id="21" name="Picture 17" descr="Payment 演示记录了客户余额、仓库/地区收款金额和支付历史写入结果，用于支撑支付事务处理正确性说明。" title="Payment 演示记录了客户余额、仓库/地区收款金额和支付历史写入结果，用于支撑支付事务处理正确性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18DB8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6-6 Payment 事务与导入审计验证截图</w:t>
      </w:r>
    </w:p>
    <w:p w14:paraId="795699C4">
      <w:pPr>
        <w:spacing w:after="0"/>
      </w:pPr>
      <w:r>
        <w:rPr>
          <w:color w:val="000000"/>
        </w:rPr>
        <w:t>数据库层为 New-Order 和 Payment 两类 TPC-C 事务提供可验证的 SQL 模板。V6 脚本将各步骤拆解为 PREPARE 语句，用于独立校验 SQL 行为；实际运行时，后端 Service 层使用 Spring @Transactional 统一包裹同一事务内的数据库操作，确保异常时完整回滚。</w:t>
      </w:r>
    </w:p>
    <w:p w14:paraId="0A55F0D0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 6-4 TPC-C 事务 SQL 实现清单</w:t>
      </w:r>
    </w:p>
    <w:tbl>
      <w:tblPr>
        <w:tblStyle w:val="39"/>
        <w:tblW w:w="86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1"/>
        <w:gridCol w:w="2188"/>
        <w:gridCol w:w="2161"/>
      </w:tblGrid>
      <w:tr w14:paraId="088F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161" w:type="dxa"/>
            <w:vAlign w:val="center"/>
          </w:tcPr>
          <w:p w14:paraId="1E0411BD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事务</w:t>
            </w:r>
          </w:p>
        </w:tc>
        <w:tc>
          <w:tcPr>
            <w:tcW w:w="2161" w:type="dxa"/>
            <w:vAlign w:val="center"/>
          </w:tcPr>
          <w:p w14:paraId="1D293FA7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主要步骤</w:t>
            </w:r>
          </w:p>
        </w:tc>
        <w:tc>
          <w:tcPr>
            <w:tcW w:w="2188" w:type="dxa"/>
            <w:vAlign w:val="center"/>
          </w:tcPr>
          <w:p w14:paraId="527BA1CA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数据库侧支撑</w:t>
            </w:r>
          </w:p>
        </w:tc>
        <w:tc>
          <w:tcPr>
            <w:tcW w:w="2161" w:type="dxa"/>
            <w:vAlign w:val="center"/>
          </w:tcPr>
          <w:p w14:paraId="6BFA9E18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回滚条件</w:t>
            </w:r>
          </w:p>
        </w:tc>
      </w:tr>
      <w:tr w14:paraId="7782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1" w:type="dxa"/>
            <w:vAlign w:val="center"/>
          </w:tcPr>
          <w:p w14:paraId="1356A1F9">
            <w:pPr>
              <w:spacing w:after="0" w:line="300" w:lineRule="auto"/>
              <w:ind w:firstLine="0"/>
            </w:pPr>
            <w:r>
              <w:rPr>
                <w:color w:val="000000"/>
              </w:rPr>
              <w:t>New-Order</w:t>
            </w:r>
          </w:p>
        </w:tc>
        <w:tc>
          <w:tcPr>
            <w:tcW w:w="2161" w:type="dxa"/>
            <w:vAlign w:val="center"/>
          </w:tcPr>
          <w:p w14:paraId="7D9085A6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读取税率/折扣、递增 d_next_o_id、插入订单、扣减库存、写订单明细</w:t>
            </w:r>
          </w:p>
        </w:tc>
        <w:tc>
          <w:tcPr>
            <w:tcW w:w="2188" w:type="dxa"/>
            <w:vAlign w:val="center"/>
          </w:tcPr>
          <w:p w14:paraId="2C643A5A">
            <w:pPr>
              <w:spacing w:after="0" w:line="300" w:lineRule="auto"/>
              <w:ind w:firstLine="0"/>
            </w:pPr>
            <w:r>
              <w:rPr>
                <w:color w:val="000000"/>
              </w:rPr>
              <w:t>tpcc_orders、new_order、order_line、stock、stock_change_log、transaction_log</w:t>
            </w:r>
          </w:p>
        </w:tc>
        <w:tc>
          <w:tcPr>
            <w:tcW w:w="2161" w:type="dxa"/>
            <w:vAlign w:val="center"/>
          </w:tcPr>
          <w:p w14:paraId="1C1F4AB7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客户/仓库/商品不存在、库存不足、任一写入失败。</w:t>
            </w:r>
          </w:p>
        </w:tc>
      </w:tr>
      <w:tr w14:paraId="140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1" w:type="dxa"/>
            <w:vAlign w:val="center"/>
          </w:tcPr>
          <w:p w14:paraId="546924F5">
            <w:pPr>
              <w:spacing w:after="0" w:line="300" w:lineRule="auto"/>
              <w:ind w:firstLine="0"/>
            </w:pPr>
            <w:r>
              <w:rPr>
                <w:color w:val="000000"/>
              </w:rPr>
              <w:t>Payment</w:t>
            </w:r>
          </w:p>
        </w:tc>
        <w:tc>
          <w:tcPr>
            <w:tcW w:w="2161" w:type="dxa"/>
            <w:vAlign w:val="center"/>
          </w:tcPr>
          <w:p w14:paraId="60BB9DA6">
            <w:pPr>
              <w:spacing w:after="0" w:line="300" w:lineRule="auto"/>
              <w:ind w:firstLine="0"/>
            </w:pPr>
            <w:r>
              <w:rPr>
                <w:color w:val="000000"/>
              </w:rPr>
              <w:t>更新 warehouse/district 收款、更新客户余额、插入 history、写事务日志</w:t>
            </w:r>
          </w:p>
        </w:tc>
        <w:tc>
          <w:tcPr>
            <w:tcW w:w="2188" w:type="dxa"/>
            <w:vAlign w:val="center"/>
          </w:tcPr>
          <w:p w14:paraId="189BD08F">
            <w:pPr>
              <w:spacing w:after="0" w:line="300" w:lineRule="auto"/>
              <w:ind w:firstLine="0"/>
            </w:pPr>
            <w:r>
              <w:rPr>
                <w:color w:val="000000"/>
              </w:rPr>
              <w:t>warehouse、district、tpcc_customer、history、transaction_log</w:t>
            </w:r>
          </w:p>
        </w:tc>
        <w:tc>
          <w:tcPr>
            <w:tcW w:w="2161" w:type="dxa"/>
            <w:vAlign w:val="center"/>
          </w:tcPr>
          <w:p w14:paraId="2C9CBCF7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付款金额非法、客户或地区不存在、任一更新失败。</w:t>
            </w:r>
          </w:p>
        </w:tc>
      </w:tr>
    </w:tbl>
    <w:p w14:paraId="6388079E">
      <w:pPr>
        <w:pStyle w:val="4"/>
        <w:spacing w:before="0" w:after="0"/>
        <w:ind w:firstLine="0"/>
        <w:rPr>
          <w:lang w:eastAsia="zh-CN"/>
        </w:rPr>
      </w:pPr>
      <w:bookmarkStart w:id="72" w:name="__RefHeading___Toc5875_2153205702"/>
      <w:bookmarkEnd w:id="72"/>
      <w:bookmarkStart w:id="73" w:name="_Toc234332077"/>
      <w:r>
        <w:rPr>
          <w:rFonts w:ascii="Times New Roman" w:hAnsi="Times New Roman" w:eastAsia="黑体"/>
          <w:color w:val="000000"/>
          <w:lang w:eastAsia="zh-CN"/>
        </w:rPr>
        <w:t>6.9 性能测试实现</w:t>
      </w:r>
      <w:bookmarkEnd w:id="73"/>
    </w:p>
    <w:p w14:paraId="749919F4">
      <w:pPr>
        <w:spacing w:after="0"/>
        <w:rPr>
          <w:lang w:eastAsia="zh-CN"/>
        </w:rPr>
      </w:pPr>
      <w:r>
        <w:t>性能测试采用两个独立 HTTP 验收入口。test/tpch_concurrent_test.py 固定或参数化调用 Q1、Q5、Q12、Q14；test/tpcc_concurrent_test.py 调用 New-Order 与 Payment，并支持内联或文件 JSON 请求体、线程数、请求数、token 和超时参数。公共登录、并发执行、指标统计、文件归档和结果入库逻辑集中在 test/performance_common.py。</w:t>
      </w:r>
    </w:p>
    <w:p>
      <w:r>
        <w:t>每组正式测试使用 4 个线程、20 次请求和 SF=0.1 数据。输出字段与后端契约统一为 testType、successCount、failCount、avgLatencyMs、minLatencyMs、maxLatencyMs、throughput 等，其中 TPC-H 使用 testType=tpch 和 QPS，TPC-C 使用 testType=tpcc 和 TPS。每组同时生成完整 JSON、摘要 CSV、样本 CSV 与接口响应 JSON。</w:t>
      </w:r>
    </w:p>
    <w:p w14:paraId="1112FEC5">
      <w:pPr>
        <w:spacing w:after="0"/>
      </w:pPr>
      <w:r>
        <w:t>六组压测共发起 120 次请求，全部成功、失败数为 0。脚本完成本地归档后调用 POST /api/performance/results 写入性能结果，六组接口响应均成功并已保存，可由前端性能分析页面读取。</w:t>
      </w:r>
    </w:p>
    <w:p w14:paraId="20C47EF8">
      <w:pPr>
        <w:pStyle w:val="3"/>
        <w:spacing w:before="0" w:after="0"/>
        <w:ind w:firstLine="0"/>
        <w:rPr>
          <w:lang w:eastAsia="zh-CN"/>
        </w:rPr>
      </w:pPr>
      <w:bookmarkStart w:id="74" w:name="__RefHeading___Toc5877_2153205702"/>
      <w:bookmarkEnd w:id="74"/>
      <w:bookmarkStart w:id="75" w:name="_Toc234332078"/>
      <w:r>
        <w:rPr>
          <w:rFonts w:ascii="Times New Roman" w:hAnsi="Times New Roman" w:eastAsia="黑体"/>
          <w:color w:val="000000"/>
          <w:lang w:eastAsia="zh-CN"/>
        </w:rPr>
        <w:t>第 7 章 查询优化与性能分析</w:t>
      </w:r>
      <w:bookmarkEnd w:id="75"/>
    </w:p>
    <w:p w14:paraId="2D47BACC">
      <w:pPr>
        <w:pStyle w:val="4"/>
        <w:spacing w:before="0" w:after="0"/>
        <w:ind w:firstLine="0"/>
        <w:rPr>
          <w:lang w:eastAsia="zh-CN"/>
        </w:rPr>
      </w:pPr>
      <w:bookmarkStart w:id="76" w:name="__RefHeading___Toc5879_2153205702"/>
      <w:bookmarkEnd w:id="76"/>
      <w:bookmarkStart w:id="77" w:name="_Toc234332079"/>
      <w:r>
        <w:rPr>
          <w:rFonts w:ascii="Times New Roman" w:hAnsi="Times New Roman" w:eastAsia="黑体"/>
          <w:color w:val="000000"/>
          <w:lang w:eastAsia="zh-CN"/>
        </w:rPr>
        <w:t>7.1 TPC-H 查询执行时间统计</w:t>
      </w:r>
      <w:bookmarkEnd w:id="77"/>
    </w:p>
    <w:p w14:paraId="33D6019F">
      <w:pPr>
        <w:spacing w:after="0"/>
        <w:rPr>
          <w:lang w:eastAsia="zh-CN"/>
        </w:rPr>
      </w:pPr>
      <w:r>
        <w:t>TPC-H 查询执行时间统计基于 SF=0.1 正式数据完成。Q1、Q5、Q12、Q14 分别保存无索引与有索引两份 EXPLAIN ANALYZE 文本，共 8 份执行计划；两组清单分别为 tpch_explain_without_index_sf0.1_20260713_002428.json 和 tpch_explain_with_index_sf0.1_20260713_002431.json。查询参数采用 dbgen 标准日期区间，确保页面、接口、SQL 与性能脚本口径一致。</w:t>
      </w:r>
    </w:p>
    <w:p w14:paraId="3A9F1C06">
      <w:pPr>
        <w:keepNext/>
        <w:spacing w:after="0"/>
        <w:jc w:val="center"/>
      </w:pPr>
      <w:r>
        <w:rPr>
          <w:color w:val="000000"/>
          <w:sz w:val="21"/>
        </w:rPr>
        <w:t>表 7-1 索引前后性能对比表</w:t>
      </w:r>
    </w:p>
    <w:tbl>
      <w:tblPr>
        <w:tblStyle w:val="39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rPr>
          <w:tblHeader w:val="true"/>
          <w:cantSplit/>
        </w:trPr>
        <w:tc>
          <w:tcPr>
            <w:tcW w:type="dxa" w:w="2295"/>
          </w:tcPr>
          <w:p>
            <w:r>
              <w:t>查询</w:t>
            </w:r>
          </w:p>
        </w:tc>
        <w:tc>
          <w:tcPr>
            <w:tcW w:type="dxa" w:w="2295"/>
          </w:tcPr>
          <w:p>
            <w:r>
              <w:t>索引状态</w:t>
            </w:r>
          </w:p>
        </w:tc>
        <w:tc>
          <w:tcPr>
            <w:tcW w:type="dxa" w:w="2295"/>
          </w:tcPr>
          <w:p>
            <w:r>
              <w:t>执行时间/ms</w:t>
            </w:r>
          </w:p>
        </w:tc>
        <w:tc>
          <w:tcPr>
            <w:tcW w:type="dxa" w:w="2295"/>
          </w:tcPr>
          <w:p>
            <w:r>
              <w:t>执行计划变化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</w:t>
            </w:r>
          </w:p>
        </w:tc>
        <w:tc>
          <w:tcPr>
            <w:tcW w:type="dxa" w:w="2295"/>
          </w:tcPr>
          <w:p>
            <w:r>
              <w:t>无索引</w:t>
            </w:r>
          </w:p>
        </w:tc>
        <w:tc>
          <w:tcPr>
            <w:tcW w:type="dxa" w:w="2295"/>
          </w:tcPr>
          <w:p>
            <w:r>
              <w:t>125.949</w:t>
            </w:r>
          </w:p>
        </w:tc>
        <w:tc>
          <w:tcPr>
            <w:tcW w:type="dxa" w:w="2295"/>
          </w:tcPr>
          <w:p>
            <w:r>
              <w:t>Parallel Seq Scan + Finalize GroupAggregate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</w:t>
            </w:r>
          </w:p>
        </w:tc>
        <w:tc>
          <w:tcPr>
            <w:tcW w:type="dxa" w:w="2295"/>
          </w:tcPr>
          <w:p>
            <w:r>
              <w:t>有索引</w:t>
            </w:r>
          </w:p>
        </w:tc>
        <w:tc>
          <w:tcPr>
            <w:tcW w:type="dxa" w:w="2295"/>
          </w:tcPr>
          <w:p>
            <w:r>
              <w:t>133.089</w:t>
            </w:r>
          </w:p>
        </w:tc>
        <w:tc>
          <w:tcPr>
            <w:tcW w:type="dxa" w:w="2295"/>
          </w:tcPr>
          <w:p>
            <w:r>
              <w:t>仍使用 Parallel Seq Scan，低选择性条件收益不明显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Q5</w:t>
            </w:r>
          </w:p>
        </w:tc>
        <w:tc>
          <w:tcPr>
            <w:tcW w:type="dxa" w:w="2295"/>
          </w:tcPr>
          <w:p>
            <w:r>
              <w:t>无索引</w:t>
            </w:r>
          </w:p>
        </w:tc>
        <w:tc>
          <w:tcPr>
            <w:tcW w:type="dxa" w:w="2295"/>
          </w:tcPr>
          <w:p>
            <w:r>
              <w:t>32.032</w:t>
            </w:r>
          </w:p>
        </w:tc>
        <w:tc>
          <w:tcPr>
            <w:tcW w:type="dxa" w:w="2295"/>
          </w:tcPr>
          <w:p>
            <w:r>
              <w:t>多表连接与顺序扫描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Q5</w:t>
            </w:r>
          </w:p>
        </w:tc>
        <w:tc>
          <w:tcPr>
            <w:tcW w:type="dxa" w:w="2295"/>
          </w:tcPr>
          <w:p>
            <w:r>
              <w:t>有索引</w:t>
            </w:r>
          </w:p>
        </w:tc>
        <w:tc>
          <w:tcPr>
            <w:tcW w:type="dxa" w:w="2295"/>
          </w:tcPr>
          <w:p>
            <w:r>
              <w:t>26.486</w:t>
            </w:r>
          </w:p>
        </w:tc>
        <w:tc>
          <w:tcPr>
            <w:tcW w:type="dxa" w:w="2295"/>
          </w:tcPr>
          <w:p>
            <w:r>
              <w:t>Bitmap Index Scan 命中 idx_orders_orderdate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Q12</w:t>
            </w:r>
          </w:p>
        </w:tc>
        <w:tc>
          <w:tcPr>
            <w:tcW w:type="dxa" w:w="2295"/>
          </w:tcPr>
          <w:p>
            <w:r>
              <w:t>无索引</w:t>
            </w:r>
          </w:p>
        </w:tc>
        <w:tc>
          <w:tcPr>
            <w:tcW w:type="dxa" w:w="2295"/>
          </w:tcPr>
          <w:p>
            <w:r>
              <w:t>48.823</w:t>
            </w:r>
          </w:p>
        </w:tc>
        <w:tc>
          <w:tcPr>
            <w:tcW w:type="dxa" w:w="2295"/>
          </w:tcPr>
          <w:p>
            <w:r>
              <w:t>Parallel Seq Scan 后按运输方式聚合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Q12</w:t>
            </w:r>
          </w:p>
        </w:tc>
        <w:tc>
          <w:tcPr>
            <w:tcW w:type="dxa" w:w="2295"/>
          </w:tcPr>
          <w:p>
            <w:r>
              <w:t>有索引</w:t>
            </w:r>
          </w:p>
        </w:tc>
        <w:tc>
          <w:tcPr>
            <w:tcW w:type="dxa" w:w="2295"/>
          </w:tcPr>
          <w:p>
            <w:r>
              <w:t>32.338</w:t>
            </w:r>
          </w:p>
        </w:tc>
        <w:tc>
          <w:tcPr>
            <w:tcW w:type="dxa" w:w="2295"/>
          </w:tcPr>
          <w:p>
            <w:r>
              <w:t>命中 idx_lineitem_shipmode_receiptdate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Q14</w:t>
            </w:r>
          </w:p>
        </w:tc>
        <w:tc>
          <w:tcPr>
            <w:tcW w:type="dxa" w:w="2295"/>
          </w:tcPr>
          <w:p>
            <w:r>
              <w:t>无索引</w:t>
            </w:r>
          </w:p>
        </w:tc>
        <w:tc>
          <w:tcPr>
            <w:tcW w:type="dxa" w:w="2295"/>
          </w:tcPr>
          <w:p>
            <w:r>
              <w:t>23.883</w:t>
            </w:r>
          </w:p>
        </w:tc>
        <w:tc>
          <w:tcPr>
            <w:tcW w:type="dxa" w:w="2295"/>
          </w:tcPr>
          <w:p>
            <w:r>
              <w:t>并行扫描 lineitem 后连接 part</w:t>
            </w:r>
          </w:p>
        </w:tc>
      </w:tr>
      <w:tr>
        <w:trPr>
          <w:cantSplit/>
        </w:trPr>
        <w:tc>
          <w:tcPr>
            <w:tcW w:type="dxa" w:w="2295"/>
          </w:tcPr>
          <w:p>
            <w:r>
              <w:t>Q14</w:t>
            </w:r>
          </w:p>
        </w:tc>
        <w:tc>
          <w:tcPr>
            <w:tcW w:type="dxa" w:w="2295"/>
          </w:tcPr>
          <w:p>
            <w:r>
              <w:t>有索引</w:t>
            </w:r>
          </w:p>
        </w:tc>
        <w:tc>
          <w:tcPr>
            <w:tcW w:type="dxa" w:w="2295"/>
          </w:tcPr>
          <w:p>
            <w:r>
              <w:t>16.017</w:t>
            </w:r>
          </w:p>
        </w:tc>
        <w:tc>
          <w:tcPr>
            <w:tcW w:type="dxa" w:w="2295"/>
          </w:tcPr>
          <w:p>
            <w:r>
              <w:t>命中 idx_lineitem_shipdate</w:t>
            </w:r>
          </w:p>
        </w:tc>
      </w:tr>
    </w:tbl>
    <w:p w14:paraId="3408FE9D">
      <w:pPr>
        <w:pStyle w:val="4"/>
        <w:spacing w:before="0" w:after="0"/>
        <w:ind w:firstLine="0"/>
      </w:pPr>
      <w:bookmarkStart w:id="78" w:name="__RefHeading___Toc5881_2153205702"/>
      <w:bookmarkEnd w:id="78"/>
      <w:bookmarkStart w:id="79" w:name="_Toc234332080"/>
      <w:r>
        <w:rPr>
          <w:rFonts w:ascii="Times New Roman" w:hAnsi="Times New Roman" w:eastAsia="黑体"/>
          <w:color w:val="000000"/>
        </w:rPr>
        <w:t>7.2 EXPLAIN ANALYZE 执行计划分析</w:t>
      </w:r>
      <w:bookmarkEnd w:id="79"/>
    </w:p>
    <w:p w14:paraId="581C9C4F">
      <w:pPr>
        <w:spacing w:after="0"/>
      </w:pPr>
      <w:r>
        <w:rPr>
          <w:color w:val="000000"/>
        </w:rPr>
        <w:t>执行计划分析以 EXPLAIN ANALYZE 输出为依据，重点观察扫描方式、连接策略、排序与聚合节点、缓冲区命中情况及实际耗时，用于评估基线索引的有效性。</w:t>
      </w:r>
    </w:p>
    <w:p w14:paraId="5CA56348"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8632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tpch_q12_explain_with_index_sf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6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439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tpch_q14_explain_with_index_sf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3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EA02A">
      <w:pPr>
        <w:keepNext/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7-1 SF=0.1 Q12 与 Q14 有索引执行计划截图</w:t>
      </w:r>
    </w:p>
    <w:p w14:paraId="2AB35163">
      <w:pPr>
        <w:spacing w:after="0"/>
      </w:pPr>
      <w:r>
        <w:rPr>
          <w:color w:val="000000"/>
        </w:rPr>
        <w:t>V12__explain_baseline.sql 作为统一的执行计划分析模板，覆盖 Q1、Q5、Q12、Q14 四条查询，并通过 EXPLAIN (ANALYZE, BUFFERS, FORMAT TEXT) 输出实际执行时间、扫描方式、连接策略和缓冲区信息。部署与性能测试流程在正式数据集上运行该模板并归档原始结果。</w:t>
      </w:r>
    </w:p>
    <w:p w14:paraId="3C460C8C">
      <w:pPr>
        <w:spacing w:after="0"/>
      </w:pPr>
      <w:r>
        <w:rPr>
          <w:color w:val="000000"/>
        </w:rPr>
        <w:t>样例数据上的 EXPLAIN 仅用于证明 SQL 可执行，不作为正式性能结论。本报告的性能结论以 SF=0.1 正式数据上保存的 8 份 EXPLAIN ANALYZE 原始结果为依据，并结合 Parallel Seq Scan、Bitmap Index Scan、Hash Join、Sort 和 Aggregate 等节点解释查询耗时变化。</w:t>
      </w:r>
    </w:p>
    <w:p w14:paraId="665C1892">
      <w:pPr>
        <w:spacing w:after="0"/>
        <w:jc w:val="center"/>
      </w:pPr>
      <w:r>
        <w:rPr>
          <w:color w:val="000000"/>
          <w:sz w:val="21"/>
        </w:rPr>
        <w:t>表 7-2 EXPLAIN ANALYZE 观察点表</w:t>
      </w:r>
    </w:p>
    <w:tbl>
      <w:tblPr>
        <w:tblStyle w:val="39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3484"/>
        <w:gridCol w:w="1256"/>
        <w:gridCol w:w="3509"/>
      </w:tblGrid>
      <w:tr w14:paraId="3EC8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612" w:type="dxa"/>
            <w:vAlign w:val="center"/>
          </w:tcPr>
          <w:p w14:paraId="76277E57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查询</w:t>
            </w:r>
          </w:p>
        </w:tc>
        <w:tc>
          <w:tcPr>
            <w:tcW w:w="3484" w:type="dxa"/>
            <w:vAlign w:val="center"/>
          </w:tcPr>
          <w:p w14:paraId="6426BF9F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主要观察点</w:t>
            </w:r>
          </w:p>
        </w:tc>
        <w:tc>
          <w:tcPr>
            <w:tcW w:w="1256" w:type="dxa"/>
            <w:vAlign w:val="center"/>
          </w:tcPr>
          <w:p w14:paraId="3D9225E1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可能瓶颈</w:t>
            </w:r>
          </w:p>
        </w:tc>
        <w:tc>
          <w:tcPr>
            <w:tcW w:w="3509" w:type="dxa"/>
            <w:vAlign w:val="center"/>
          </w:tcPr>
          <w:p w14:paraId="2AC410E4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索引相关性</w:t>
            </w:r>
          </w:p>
        </w:tc>
      </w:tr>
      <w:tr w14:paraId="366E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2" w:type="dxa"/>
            <w:vAlign w:val="center"/>
          </w:tcPr>
          <w:p w14:paraId="3696D832">
            <w:pPr>
              <w:spacing w:after="0" w:line="300" w:lineRule="auto"/>
              <w:ind w:firstLine="0"/>
            </w:pPr>
            <w:r>
              <w:rPr>
                <w:color w:val="000000"/>
              </w:rPr>
              <w:t>Q1</w:t>
            </w:r>
          </w:p>
        </w:tc>
        <w:tc>
          <w:tcPr>
            <w:tcW w:w="3484" w:type="dxa"/>
            <w:vAlign w:val="center"/>
          </w:tcPr>
          <w:p w14:paraId="53F0BF38">
            <w:pPr>
              <w:spacing w:after="0" w:line="300" w:lineRule="auto"/>
              <w:ind w:firstLine="0"/>
            </w:pPr>
            <w:r>
              <w:rPr>
                <w:color w:val="000000"/>
              </w:rPr>
              <w:t>lineitem 扫描方式、GroupAggregate/HashAggregate、Sort</w:t>
            </w:r>
          </w:p>
        </w:tc>
        <w:tc>
          <w:tcPr>
            <w:tcW w:w="1256" w:type="dxa"/>
            <w:vAlign w:val="center"/>
          </w:tcPr>
          <w:p w14:paraId="55E4A501">
            <w:pPr>
              <w:spacing w:after="0" w:line="300" w:lineRule="auto"/>
              <w:ind w:firstLine="0"/>
            </w:pPr>
            <w:r>
              <w:rPr>
                <w:color w:val="000000"/>
              </w:rPr>
              <w:t>大表扫描和聚合排序</w:t>
            </w:r>
          </w:p>
        </w:tc>
        <w:tc>
          <w:tcPr>
            <w:tcW w:w="3509" w:type="dxa"/>
            <w:vAlign w:val="center"/>
          </w:tcPr>
          <w:p w14:paraId="3F9AF327">
            <w:pPr>
              <w:spacing w:after="0" w:line="300" w:lineRule="auto"/>
              <w:ind w:firstLine="0"/>
            </w:pPr>
            <w:r>
              <w:rPr>
                <w:color w:val="000000"/>
              </w:rPr>
              <w:t>idx_lineitem_shipdate、idx_lineitem_returnflag_linestatus</w:t>
            </w:r>
          </w:p>
        </w:tc>
      </w:tr>
      <w:tr w14:paraId="060E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2" w:type="dxa"/>
            <w:vAlign w:val="center"/>
          </w:tcPr>
          <w:p w14:paraId="578213DC">
            <w:pPr>
              <w:spacing w:after="0" w:line="300" w:lineRule="auto"/>
              <w:ind w:firstLine="0"/>
            </w:pPr>
            <w:r>
              <w:rPr>
                <w:color w:val="000000"/>
              </w:rPr>
              <w:t>Q5</w:t>
            </w:r>
          </w:p>
        </w:tc>
        <w:tc>
          <w:tcPr>
            <w:tcW w:w="3484" w:type="dxa"/>
            <w:vAlign w:val="center"/>
          </w:tcPr>
          <w:p w14:paraId="3440B6E4">
            <w:pPr>
              <w:spacing w:after="0" w:line="300" w:lineRule="auto"/>
              <w:ind w:firstLine="0"/>
            </w:pPr>
            <w:r>
              <w:rPr>
                <w:color w:val="000000"/>
              </w:rPr>
              <w:t>orders 日期过滤、多表连接顺序、Hash Join/Nested Loop</w:t>
            </w:r>
          </w:p>
        </w:tc>
        <w:tc>
          <w:tcPr>
            <w:tcW w:w="1256" w:type="dxa"/>
            <w:vAlign w:val="center"/>
          </w:tcPr>
          <w:p w14:paraId="31B505BF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连接链路长，中间结果可能较大</w:t>
            </w:r>
          </w:p>
        </w:tc>
        <w:tc>
          <w:tcPr>
            <w:tcW w:w="3509" w:type="dxa"/>
            <w:vAlign w:val="center"/>
          </w:tcPr>
          <w:p w14:paraId="08AA3DB7">
            <w:pPr>
              <w:spacing w:after="0" w:line="300" w:lineRule="auto"/>
              <w:ind w:firstLine="0"/>
            </w:pPr>
            <w:r>
              <w:rPr>
                <w:color w:val="000000"/>
              </w:rPr>
              <w:t>idx_orders_orderdate、idx_orders_custkey、idx_lineitem_orderkey</w:t>
            </w:r>
          </w:p>
        </w:tc>
      </w:tr>
      <w:tr w14:paraId="4CA2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2" w:type="dxa"/>
            <w:vAlign w:val="center"/>
          </w:tcPr>
          <w:p w14:paraId="6FAC92AB">
            <w:pPr>
              <w:spacing w:after="0" w:line="300" w:lineRule="auto"/>
              <w:ind w:firstLine="0"/>
            </w:pPr>
            <w:r>
              <w:rPr>
                <w:color w:val="000000"/>
              </w:rPr>
              <w:t>Q12</w:t>
            </w:r>
          </w:p>
        </w:tc>
        <w:tc>
          <w:tcPr>
            <w:tcW w:w="3484" w:type="dxa"/>
            <w:vAlign w:val="center"/>
          </w:tcPr>
          <w:p w14:paraId="4A83ACDF">
            <w:pPr>
              <w:spacing w:after="0" w:line="300" w:lineRule="auto"/>
              <w:ind w:firstLine="0"/>
            </w:pPr>
            <w:r>
              <w:rPr>
                <w:color w:val="000000"/>
              </w:rPr>
              <w:t>shipmode + receiptdate 过滤、订单连接、分组排序</w:t>
            </w:r>
          </w:p>
        </w:tc>
        <w:tc>
          <w:tcPr>
            <w:tcW w:w="1256" w:type="dxa"/>
            <w:vAlign w:val="center"/>
          </w:tcPr>
          <w:p w14:paraId="388BBF81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过滤后仍需判断日期逻辑条件</w:t>
            </w:r>
          </w:p>
        </w:tc>
        <w:tc>
          <w:tcPr>
            <w:tcW w:w="3509" w:type="dxa"/>
            <w:vAlign w:val="center"/>
          </w:tcPr>
          <w:p w14:paraId="643E7F31">
            <w:pPr>
              <w:spacing w:after="0" w:line="300" w:lineRule="auto"/>
              <w:ind w:firstLine="0"/>
            </w:pPr>
            <w:r>
              <w:rPr>
                <w:color w:val="000000"/>
              </w:rPr>
              <w:t>idx_lineitem_shipmode_receiptdate</w:t>
            </w:r>
          </w:p>
        </w:tc>
      </w:tr>
      <w:tr w14:paraId="2DD0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2" w:type="dxa"/>
            <w:vAlign w:val="center"/>
          </w:tcPr>
          <w:p w14:paraId="0FE2AC36">
            <w:pPr>
              <w:spacing w:after="0" w:line="300" w:lineRule="auto"/>
              <w:ind w:firstLine="0"/>
            </w:pPr>
            <w:r>
              <w:rPr>
                <w:color w:val="000000"/>
              </w:rPr>
              <w:t>Q14</w:t>
            </w:r>
          </w:p>
        </w:tc>
        <w:tc>
          <w:tcPr>
            <w:tcW w:w="3484" w:type="dxa"/>
            <w:vAlign w:val="center"/>
          </w:tcPr>
          <w:p w14:paraId="05F55209">
            <w:pPr>
              <w:spacing w:after="0" w:line="300" w:lineRule="auto"/>
              <w:ind w:firstLine="0"/>
            </w:pPr>
            <w:r>
              <w:rPr>
                <w:color w:val="000000"/>
              </w:rPr>
              <w:t>lineitem 月份过滤、part 连接、Aggregate</w:t>
            </w:r>
          </w:p>
        </w:tc>
        <w:tc>
          <w:tcPr>
            <w:tcW w:w="1256" w:type="dxa"/>
            <w:vAlign w:val="center"/>
          </w:tcPr>
          <w:p w14:paraId="2F58E283">
            <w:pPr>
              <w:spacing w:after="0" w:line="300" w:lineRule="auto"/>
              <w:ind w:firstLine="0"/>
            </w:pPr>
            <w:r>
              <w:rPr>
                <w:color w:val="000000"/>
              </w:rPr>
              <w:t>促销判断依赖 part.p_type</w:t>
            </w:r>
          </w:p>
        </w:tc>
        <w:tc>
          <w:tcPr>
            <w:tcW w:w="3509" w:type="dxa"/>
            <w:vAlign w:val="center"/>
          </w:tcPr>
          <w:p w14:paraId="7FF67AC0">
            <w:pPr>
              <w:spacing w:after="0" w:line="300" w:lineRule="auto"/>
              <w:ind w:firstLine="0"/>
            </w:pPr>
            <w:r>
              <w:rPr>
                <w:color w:val="000000"/>
              </w:rPr>
              <w:t>idx_lineitem_shipdate</w:t>
            </w:r>
          </w:p>
        </w:tc>
      </w:tr>
    </w:tbl>
    <w:p w14:paraId="23E8D551">
      <w:pPr>
        <w:pStyle w:val="4"/>
        <w:spacing w:before="0" w:after="0"/>
        <w:ind w:firstLine="0"/>
      </w:pPr>
      <w:bookmarkStart w:id="80" w:name="__RefHeading___Toc5883_2153205702"/>
      <w:bookmarkEnd w:id="80"/>
      <w:bookmarkStart w:id="81" w:name="_Toc234332081"/>
      <w:r>
        <w:rPr>
          <w:rFonts w:ascii="Times New Roman" w:hAnsi="Times New Roman" w:eastAsia="黑体"/>
          <w:color w:val="000000"/>
        </w:rPr>
        <w:t>7.3 索引前后对比分析</w:t>
      </w:r>
      <w:bookmarkEnd w:id="81"/>
    </w:p>
    <w:p w14:paraId="364C4E4E">
      <w:pPr>
        <w:spacing w:after="0"/>
        <w:rPr>
          <w:lang w:eastAsia="zh-CN"/>
        </w:rPr>
      </w:pPr>
      <w:r>
        <w:rPr>
          <w:color w:val="000000"/>
          <w:lang w:eastAsia="zh-CN"/>
        </w:rPr>
        <w:t>索引前后对比实验在同一套正式数据上完成。实验先在未执行 V10 的状态下保存无索引计划与耗时，再执行 V10__indexes_baseline.sql 创建基线索引，重新运行 ANALYZE 后采集有索引计划与耗时，从而保证对比条件一致。</w:t>
      </w:r>
    </w:p>
    <w:p w14:paraId="2864E3EC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 7-3 索引前后对比分析口径表</w:t>
      </w:r>
    </w:p>
    <w:tbl>
      <w:tblPr>
        <w:tblStyle w:val="39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021"/>
        <w:gridCol w:w="1675"/>
        <w:gridCol w:w="3654"/>
      </w:tblGrid>
      <w:tr w14:paraId="46EF9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1511" w:type="dxa"/>
            <w:vAlign w:val="center"/>
          </w:tcPr>
          <w:p w14:paraId="4188A98E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查询</w:t>
            </w:r>
          </w:p>
        </w:tc>
        <w:tc>
          <w:tcPr>
            <w:tcW w:w="2021" w:type="dxa"/>
            <w:vAlign w:val="center"/>
          </w:tcPr>
          <w:p w14:paraId="32DD77BD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无索引观察</w:t>
            </w:r>
          </w:p>
        </w:tc>
        <w:tc>
          <w:tcPr>
            <w:tcW w:w="1675" w:type="dxa"/>
            <w:vAlign w:val="center"/>
          </w:tcPr>
          <w:p w14:paraId="75476E9D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有索引观察</w:t>
            </w:r>
          </w:p>
        </w:tc>
        <w:tc>
          <w:tcPr>
            <w:tcW w:w="3654" w:type="dxa"/>
            <w:vAlign w:val="center"/>
          </w:tcPr>
          <w:p w14:paraId="506B7EE3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分析口径</w:t>
            </w:r>
          </w:p>
        </w:tc>
      </w:tr>
      <w:tr w14:paraId="533A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511" w:type="dxa"/>
            <w:vAlign w:val="center"/>
          </w:tcPr>
          <w:p w14:paraId="7142E43B">
            <w:pPr>
              <w:spacing w:after="0" w:line="300" w:lineRule="auto"/>
              <w:ind w:firstLine="0"/>
            </w:pPr>
            <w:r>
              <w:rPr>
                <w:color w:val="000000"/>
              </w:rPr>
              <w:t>Q1</w:t>
            </w:r>
          </w:p>
        </w:tc>
        <w:tc>
          <w:tcPr>
            <w:tcW w:w="2021" w:type="dxa"/>
            <w:vAlign w:val="center"/>
          </w:tcPr>
          <w:p w14:paraId="2E3AA425">
            <w:pPr>
              <w:spacing w:after="0" w:line="300" w:lineRule="auto"/>
              <w:ind w:firstLine="0"/>
            </w:pPr>
            <w:r>
              <w:rPr>
                <w:color w:val="000000"/>
              </w:rPr>
              <w:t>可能出现 Seq Scan + Sort + GroupAggregate</w:t>
            </w:r>
          </w:p>
        </w:tc>
        <w:tc>
          <w:tcPr>
            <w:tcW w:w="1675" w:type="dxa"/>
            <w:vAlign w:val="center"/>
          </w:tcPr>
          <w:p w14:paraId="1AB7EAE6">
            <w:pPr>
              <w:spacing w:after="0" w:line="300" w:lineRule="auto"/>
              <w:ind w:firstLine="0"/>
            </w:pPr>
            <w:r>
              <w:rPr>
                <w:color w:val="000000"/>
              </w:rPr>
              <w:t>可能命中 shipdate 或分组索引</w:t>
            </w:r>
          </w:p>
        </w:tc>
        <w:tc>
          <w:tcPr>
            <w:tcW w:w="3654" w:type="dxa"/>
            <w:vAlign w:val="center"/>
          </w:tcPr>
          <w:p w14:paraId="1CBB29A9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判断索引是否降低排序或扫描成本。</w:t>
            </w:r>
          </w:p>
        </w:tc>
      </w:tr>
      <w:tr w14:paraId="1F79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511" w:type="dxa"/>
            <w:vAlign w:val="center"/>
          </w:tcPr>
          <w:p w14:paraId="73A13313">
            <w:pPr>
              <w:spacing w:after="0" w:line="300" w:lineRule="auto"/>
              <w:ind w:firstLine="0"/>
            </w:pPr>
            <w:r>
              <w:rPr>
                <w:color w:val="000000"/>
              </w:rPr>
              <w:t>Q5</w:t>
            </w:r>
          </w:p>
        </w:tc>
        <w:tc>
          <w:tcPr>
            <w:tcW w:w="2021" w:type="dxa"/>
            <w:vAlign w:val="center"/>
          </w:tcPr>
          <w:p w14:paraId="0A3143A3">
            <w:pPr>
              <w:spacing w:after="0" w:line="300" w:lineRule="auto"/>
              <w:ind w:firstLine="0"/>
            </w:pPr>
            <w:r>
              <w:rPr>
                <w:color w:val="000000"/>
              </w:rPr>
              <w:t>orders、lineitem 多表连接成本较高</w:t>
            </w:r>
          </w:p>
        </w:tc>
        <w:tc>
          <w:tcPr>
            <w:tcW w:w="1675" w:type="dxa"/>
            <w:vAlign w:val="center"/>
          </w:tcPr>
          <w:p w14:paraId="1EFC6EB4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日期、客户、订单连接索引可能命中</w:t>
            </w:r>
          </w:p>
        </w:tc>
        <w:tc>
          <w:tcPr>
            <w:tcW w:w="3654" w:type="dxa"/>
            <w:vAlign w:val="center"/>
          </w:tcPr>
          <w:p w14:paraId="552FA27E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观察日期过滤和 Join 节点变化。</w:t>
            </w:r>
          </w:p>
        </w:tc>
      </w:tr>
      <w:tr w14:paraId="4FBC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511" w:type="dxa"/>
            <w:vAlign w:val="center"/>
          </w:tcPr>
          <w:p w14:paraId="15BB41BA">
            <w:pPr>
              <w:spacing w:after="0" w:line="300" w:lineRule="auto"/>
              <w:ind w:firstLine="0"/>
            </w:pPr>
            <w:r>
              <w:rPr>
                <w:color w:val="000000"/>
              </w:rPr>
              <w:t>Q12</w:t>
            </w:r>
          </w:p>
        </w:tc>
        <w:tc>
          <w:tcPr>
            <w:tcW w:w="2021" w:type="dxa"/>
            <w:vAlign w:val="center"/>
          </w:tcPr>
          <w:p w14:paraId="4BD548EC">
            <w:pPr>
              <w:spacing w:after="0" w:line="300" w:lineRule="auto"/>
              <w:ind w:firstLine="0"/>
            </w:pPr>
            <w:r>
              <w:rPr>
                <w:color w:val="000000"/>
              </w:rPr>
              <w:t>按 shipmode 和 receiptdate 过滤可能扫描较多 lineitem</w:t>
            </w:r>
          </w:p>
        </w:tc>
        <w:tc>
          <w:tcPr>
            <w:tcW w:w="1675" w:type="dxa"/>
            <w:vAlign w:val="center"/>
          </w:tcPr>
          <w:p w14:paraId="505B6318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组合索引可能减少过滤扫描</w:t>
            </w:r>
          </w:p>
        </w:tc>
        <w:tc>
          <w:tcPr>
            <w:tcW w:w="3654" w:type="dxa"/>
            <w:vAlign w:val="center"/>
          </w:tcPr>
          <w:p w14:paraId="5CF575FF">
            <w:pPr>
              <w:spacing w:after="0" w:line="300" w:lineRule="auto"/>
              <w:ind w:firstLine="0"/>
            </w:pPr>
            <w:r>
              <w:rPr>
                <w:color w:val="000000"/>
              </w:rPr>
              <w:t>观察 idx_lineitem_shipmode_receiptdate 命中情况。</w:t>
            </w:r>
          </w:p>
        </w:tc>
      </w:tr>
      <w:tr w14:paraId="404E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511" w:type="dxa"/>
            <w:vAlign w:val="center"/>
          </w:tcPr>
          <w:p w14:paraId="0FCCAB01">
            <w:pPr>
              <w:spacing w:after="0" w:line="300" w:lineRule="auto"/>
              <w:ind w:firstLine="0"/>
            </w:pPr>
            <w:r>
              <w:rPr>
                <w:color w:val="000000"/>
              </w:rPr>
              <w:t>Q14</w:t>
            </w:r>
          </w:p>
        </w:tc>
        <w:tc>
          <w:tcPr>
            <w:tcW w:w="2021" w:type="dxa"/>
            <w:vAlign w:val="center"/>
          </w:tcPr>
          <w:p w14:paraId="39C9050E">
            <w:pPr>
              <w:spacing w:after="0" w:line="300" w:lineRule="auto"/>
              <w:ind w:firstLine="0"/>
            </w:pPr>
            <w:r>
              <w:rPr>
                <w:color w:val="000000"/>
              </w:rPr>
              <w:t>按月份过滤 lineitem 后连接 part</w:t>
            </w:r>
          </w:p>
        </w:tc>
        <w:tc>
          <w:tcPr>
            <w:tcW w:w="1675" w:type="dxa"/>
            <w:vAlign w:val="center"/>
          </w:tcPr>
          <w:p w14:paraId="6FD3ACB2">
            <w:pPr>
              <w:spacing w:after="0" w:line="300" w:lineRule="auto"/>
              <w:ind w:firstLine="0"/>
            </w:pPr>
            <w:r>
              <w:rPr>
                <w:color w:val="000000"/>
              </w:rPr>
              <w:t>shipdate 索引可能减少月份扫描</w:t>
            </w:r>
          </w:p>
        </w:tc>
        <w:tc>
          <w:tcPr>
            <w:tcW w:w="3654" w:type="dxa"/>
            <w:vAlign w:val="center"/>
          </w:tcPr>
          <w:p w14:paraId="269514DD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观察促销收入聚合前的过滤成本。</w:t>
            </w:r>
          </w:p>
        </w:tc>
      </w:tr>
    </w:tbl>
    <w:p w14:paraId="104F1860">
      <w:pPr>
        <w:pStyle w:val="4"/>
        <w:spacing w:before="0" w:after="0"/>
        <w:ind w:firstLine="0"/>
        <w:rPr>
          <w:lang w:eastAsia="zh-CN"/>
        </w:rPr>
      </w:pPr>
      <w:bookmarkStart w:id="82" w:name="__RefHeading___Toc5885_2153205702"/>
      <w:bookmarkEnd w:id="82"/>
      <w:bookmarkStart w:id="83" w:name="_Toc234332082"/>
      <w:r>
        <w:rPr>
          <w:rFonts w:ascii="Times New Roman" w:hAnsi="Times New Roman" w:eastAsia="黑体"/>
          <w:color w:val="000000"/>
          <w:lang w:eastAsia="zh-CN"/>
        </w:rPr>
        <w:t>7.4 TPC-H 并发查询测试</w:t>
      </w:r>
      <w:bookmarkEnd w:id="83"/>
    </w:p>
    <w:p w14:paraId="4566D1CC">
      <w:pPr>
        <w:spacing w:after="0"/>
        <w:rPr>
          <w:lang w:eastAsia="zh-CN"/>
        </w:rPr>
      </w:pPr>
      <w:r>
        <w:t>TPC-H HTTP 并发查询采用 4 个线程、每个查询 20 次请求，成功数均为 20、失败数均为 0。Q1 平均延迟 184.648 ms、QPS 19.805；Q5 平均延迟 37.891 ms、QPS 95.976；Q12 平均延迟 29.319 ms、QPS 127.483；Q14 平均延迟 19.017 ms、QPS 191.746。结果表明，Q1 因大范围扫描和聚合开销显著，Q12 与 Q14 在选择性较高的过滤条件和索引支持下具有更高吞吐。</w:t>
      </w:r>
    </w:p>
    <w:p w14:paraId="148B5E6C">
      <w:pPr>
        <w:pStyle w:val="4"/>
        <w:spacing w:before="0" w:after="0"/>
        <w:ind w:firstLine="0"/>
        <w:rPr>
          <w:lang w:eastAsia="zh-CN"/>
        </w:rPr>
      </w:pPr>
      <w:bookmarkStart w:id="84" w:name="__RefHeading___Toc5887_2153205702"/>
      <w:bookmarkEnd w:id="84"/>
      <w:bookmarkStart w:id="85" w:name="_Toc234332083"/>
      <w:r>
        <w:rPr>
          <w:rFonts w:ascii="Times New Roman" w:hAnsi="Times New Roman" w:eastAsia="黑体"/>
          <w:color w:val="000000"/>
          <w:lang w:eastAsia="zh-CN"/>
        </w:rPr>
        <w:t>7.5 TPC-C 并发事务测试</w:t>
      </w:r>
      <w:bookmarkEnd w:id="85"/>
    </w:p>
    <w:p w14:paraId="41B20A82">
      <w:pPr>
        <w:spacing w:after="0"/>
        <w:rPr>
          <w:lang w:eastAsia="zh-CN"/>
        </w:rPr>
      </w:pPr>
      <w:r>
        <w:t>TPC-C HTTP 并发事务同样采用 4 个线程、每类 20 次请求。New-Order 成功 20、失败 0，平均延迟 52.562 ms，最小/最大延迟 20.622/112.713 ms，TPS 71.755；Payment 成功 20、失败 0，平均延迟 34.357 ms，最小/最大延迟 22.232/47.798 ms，TPS 107.451。两组结果均写入 performance_result，事务日志、库存变更日志与支付历史同步保留审计记录。</w:t>
      </w:r>
    </w:p>
    <w:p w14:paraId="6649FCAF">
      <w:pPr>
        <w:pStyle w:val="4"/>
        <w:spacing w:before="0" w:after="0"/>
        <w:ind w:firstLine="0"/>
        <w:rPr>
          <w:lang w:eastAsia="zh-CN"/>
        </w:rPr>
      </w:pPr>
      <w:bookmarkStart w:id="86" w:name="__RefHeading___Toc5889_2153205702"/>
      <w:bookmarkEnd w:id="86"/>
      <w:bookmarkStart w:id="87" w:name="_Toc234332084"/>
      <w:r>
        <w:rPr>
          <w:rFonts w:ascii="Times New Roman" w:hAnsi="Times New Roman" w:eastAsia="黑体"/>
          <w:color w:val="000000"/>
          <w:lang w:eastAsia="zh-CN"/>
        </w:rPr>
        <w:t>7.6 性能分析结论</w:t>
      </w:r>
      <w:bookmarkEnd w:id="87"/>
    </w:p>
    <w:p w14:paraId="3F6FAF26">
      <w:pPr>
        <w:spacing w:after="0"/>
        <w:rPr>
          <w:lang w:eastAsia="zh-CN"/>
        </w:rPr>
      </w:pPr>
      <w:r>
        <w:t>综合执行计划与并发测试结果，Q1 的 shipDate 条件覆盖范围较大，PostgreSQL 在有索引时仍选择 Parallel Seq Scan，执行时间由 125.949 ms 变为 133.089 ms，说明低选择性查询不一定因增加索引而变快。Q5 命中 idx_orders_orderdate 后由 32.032 ms 降至 26.486 ms；Q12 命中 idx_lineitem_shipmode_receiptdate 后由 48.823 ms 降至 32.338 ms；Q14 命中 idx_lineitem_shipdate 后由 23.883 ms 降至 16.017 ms。索引收益取决于过滤选择性、数据规模、连接顺序和缓存状态，不能仅以是否存在索引判断。</w:t>
      </w:r>
    </w:p>
    <w:p w14:paraId="2F5C7371">
      <w:pPr>
        <w:spacing w:after="0"/>
        <w:jc w:val="center"/>
        <w:rPr>
          <w:lang w:eastAsia="zh-CN"/>
        </w:rPr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performance_tpch_real_api_sf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5BB5DB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7-2 SF=0.1 真实 API 性能结果与吞吐量展示</w:t>
      </w:r>
    </w:p>
    <w:p w14:paraId="08C58A93">
      <w:pPr>
        <w:pStyle w:val="3"/>
        <w:spacing w:before="0" w:after="0"/>
        <w:ind w:firstLine="0"/>
        <w:rPr>
          <w:lang w:eastAsia="zh-CN"/>
        </w:rPr>
      </w:pPr>
      <w:bookmarkStart w:id="88" w:name="__RefHeading___Toc5891_2153205702"/>
      <w:bookmarkEnd w:id="88"/>
      <w:bookmarkStart w:id="89" w:name="_Toc234332085"/>
      <w:r>
        <w:rPr>
          <w:rFonts w:ascii="Times New Roman" w:hAnsi="Times New Roman" w:eastAsia="黑体"/>
          <w:color w:val="000000"/>
          <w:lang w:eastAsia="zh-CN"/>
        </w:rPr>
        <w:t>第 8 章 系统运行示例</w:t>
      </w:r>
      <w:bookmarkEnd w:id="89"/>
    </w:p>
    <w:p w14:paraId="1D61D8AF">
      <w:pPr>
        <w:pStyle w:val="4"/>
        <w:spacing w:before="0" w:after="0"/>
        <w:ind w:firstLine="0"/>
        <w:rPr>
          <w:lang w:eastAsia="zh-CN"/>
        </w:rPr>
      </w:pPr>
      <w:bookmarkStart w:id="90" w:name="__RefHeading___Toc5893_2153205702"/>
      <w:bookmarkEnd w:id="90"/>
      <w:bookmarkStart w:id="91" w:name="_Toc234332086"/>
      <w:r>
        <w:rPr>
          <w:rFonts w:ascii="Times New Roman" w:hAnsi="Times New Roman" w:eastAsia="黑体"/>
          <w:color w:val="000000"/>
          <w:lang w:eastAsia="zh-CN"/>
        </w:rPr>
        <w:t>8.1 用户管理功能运行示例</w:t>
      </w:r>
      <w:bookmarkEnd w:id="91"/>
    </w:p>
    <w:p w14:paraId="73C838C3">
      <w:pPr>
        <w:spacing w:after="0"/>
        <w:rPr>
          <w:lang w:eastAsia="zh-CN"/>
        </w:rPr>
      </w:pPr>
      <w:r>
        <w:t>运行时先通过登录页调用 /api/auth/login 完成身份认证，后端返回 token 和用户角色信息。前端将登录状态保存到 Pinia 与 localStorage，并在后续请求中自动携带 Authorization 请求头。管理员登录后可进入用户管理、数据导入和数据导出页面；普通用户主要访问查询、统计分析和事务演示页面。已有截图用于展示用户管理与权限入口效果。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4E309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CCFDC7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5349240" cy="3714750"/>
                  <wp:effectExtent l="0" t="0" r="3810" b="0"/>
                  <wp:docPr id="23" name="Picture 23" descr="TPC CommerceInsight 系统运行截图" title="系统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E642B">
      <w:pPr>
        <w:spacing w:after="0"/>
        <w:jc w:val="center"/>
      </w:pPr>
      <w:r>
        <w:rPr>
          <w:color w:val="000000"/>
          <w:sz w:val="21"/>
        </w:rPr>
        <w:t>图 8-1 用户管理与权限运行示例</w:t>
      </w:r>
    </w:p>
    <w:p w14:paraId="3934ECA8">
      <w:pPr>
        <w:pStyle w:val="4"/>
        <w:spacing w:before="0" w:after="0"/>
        <w:ind w:firstLine="0"/>
        <w:rPr>
          <w:lang w:eastAsia="zh-CN"/>
        </w:rPr>
      </w:pPr>
      <w:bookmarkStart w:id="92" w:name="__RefHeading___Toc5895_2153205702"/>
      <w:bookmarkEnd w:id="92"/>
      <w:bookmarkStart w:id="93" w:name="_Toc234332087"/>
      <w:r>
        <w:rPr>
          <w:rFonts w:ascii="Times New Roman" w:hAnsi="Times New Roman" w:eastAsia="黑体"/>
          <w:color w:val="000000"/>
          <w:lang w:eastAsia="zh-CN"/>
        </w:rPr>
        <w:t>8.2 数据管理功能运行示例</w:t>
      </w:r>
      <w:bookmarkEnd w:id="93"/>
    </w:p>
    <w:p w14:paraId="30AC9E20">
      <w:pPr>
        <w:spacing w:after="0"/>
        <w:rPr>
          <w:lang w:eastAsia="zh-CN"/>
        </w:rPr>
      </w:pPr>
      <w:r>
        <w:t>数据管理页面通过表单选择目标表和文件，并调用后端接口创建导入任务、查询任务状态及查看错误明细。对于不符合字段规则的记录，页面以表格展示 lineNumber、fieldName、fieldValue 和 errorReason，便于快速定位问题；导出页面通过数据表白名单调用导出接口并下载 CSV 文件。现有截图已覆盖导入错误明细和导出操作。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08C07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3A8F2A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5349240" cy="3714750"/>
                  <wp:effectExtent l="0" t="0" r="3810" b="0"/>
                  <wp:docPr id="24" name="Picture 24" descr="TPC CommerceInsight 系统运行截图" title="系统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A33C66">
      <w:pPr>
        <w:spacing w:after="0"/>
        <w:jc w:val="center"/>
      </w:pPr>
      <w:r>
        <w:rPr>
          <w:color w:val="000000"/>
          <w:sz w:val="21"/>
        </w:rPr>
        <w:t>图 8-2 导入错误明细运行示例</w:t>
      </w:r>
    </w:p>
    <w:p w14:paraId="2E890CBA">
      <w:pPr>
        <w:pStyle w:val="4"/>
        <w:spacing w:before="0" w:after="0"/>
        <w:ind w:firstLine="0"/>
        <w:rPr>
          <w:lang w:eastAsia="zh-CN"/>
        </w:rPr>
      </w:pPr>
      <w:bookmarkStart w:id="94" w:name="__RefHeading___Toc5897_2153205702"/>
      <w:bookmarkEnd w:id="94"/>
      <w:bookmarkStart w:id="95" w:name="_Toc234332088"/>
      <w:r>
        <w:rPr>
          <w:rFonts w:ascii="Times New Roman" w:hAnsi="Times New Roman" w:eastAsia="黑体"/>
          <w:color w:val="000000"/>
          <w:lang w:eastAsia="zh-CN"/>
        </w:rPr>
        <w:t>8.3 业务查询功能运行示例</w:t>
      </w:r>
      <w:bookmarkEnd w:id="95"/>
    </w:p>
    <w:p w14:paraId="24E7CEFB">
      <w:pPr>
        <w:spacing w:after="0"/>
        <w:rPr>
          <w:lang w:eastAsia="zh-CN"/>
        </w:rPr>
      </w:pPr>
      <w:r>
        <w:t>客户、订单收入和零部件供应查询均由后端提供分页数据。前端提交 keyword、nationName、日期范围和分页参数，并统一渲染 records；订单收入页面进一步将查询结果转换为柱状图。Mock 与真实库返回结果使用相同字段结构，因此同一页面组件可以在两种模式下复用。已有截图展示客户查询、订单收入和零部件供应查询结果。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0638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F5D427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5349240" cy="4219575"/>
                  <wp:effectExtent l="0" t="0" r="3810" b="9525"/>
                  <wp:docPr id="25" name="Picture 25" descr="TPC CommerceInsight 系统运行截图" title="系统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421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7EA18">
      <w:pPr>
        <w:spacing w:after="0"/>
        <w:jc w:val="center"/>
      </w:pPr>
      <w:r>
        <w:rPr>
          <w:color w:val="000000"/>
          <w:sz w:val="21"/>
        </w:rPr>
        <w:t>图 8-3 客户信息查询运行示例</w:t>
      </w:r>
    </w:p>
    <w:p w14:paraId="2E336192">
      <w:pPr>
        <w:pStyle w:val="4"/>
        <w:spacing w:before="0" w:after="0"/>
        <w:ind w:firstLine="0"/>
        <w:rPr>
          <w:lang w:eastAsia="zh-CN"/>
        </w:rPr>
      </w:pPr>
      <w:bookmarkStart w:id="96" w:name="__RefHeading___Toc5899_2153205702"/>
      <w:bookmarkEnd w:id="96"/>
      <w:bookmarkStart w:id="97" w:name="_Toc234332089"/>
      <w:r>
        <w:rPr>
          <w:rFonts w:ascii="Times New Roman" w:hAnsi="Times New Roman" w:eastAsia="黑体"/>
          <w:color w:val="000000"/>
          <w:lang w:eastAsia="zh-CN"/>
        </w:rPr>
        <w:t>8.4 TPC-H 统计分析功能运行示例</w:t>
      </w:r>
      <w:bookmarkEnd w:id="97"/>
    </w:p>
    <w:p w14:paraId="4ADE509A">
      <w:pPr>
        <w:spacing w:after="0"/>
        <w:rPr>
          <w:lang w:eastAsia="zh-CN"/>
        </w:rPr>
      </w:pPr>
      <w:r>
        <w:t>TPC-H 页面以标签页组织 Q1、Q5、Q12 和 Q14。默认参数已调整到 dbgen 标准日期范围：Q1 使用 1998-09-02，Q5 与 Q12 使用 1994 年区间，Q14 使用 1995 年 9 月。页面展示 elapsedMs、rowCount、records 表格及 ECharts 图表，真实接口调用同时在 query_log 中记录参数、耗时和返回行数。最新截图集中展示四条查询的真实 API 运行结果。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03755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05AAC6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303520" cy="298506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13_tpch_q1_q5_q12_q14_real_api_sf0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5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B5403">
      <w:pPr>
        <w:spacing w:after="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 8-4 TPC-H Q1/Q5/Q12/Q14 真实 API 运行示例</w:t>
      </w:r>
    </w:p>
    <w:p w14:paraId="2FDB4140">
      <w:pPr>
        <w:pStyle w:val="4"/>
        <w:spacing w:before="0" w:after="0"/>
        <w:ind w:firstLine="0"/>
        <w:rPr>
          <w:lang w:eastAsia="zh-CN"/>
        </w:rPr>
      </w:pPr>
      <w:bookmarkStart w:id="98" w:name="__RefHeading___Toc5901_2153205702"/>
      <w:bookmarkEnd w:id="98"/>
      <w:bookmarkStart w:id="99" w:name="_Toc234332090"/>
      <w:r>
        <w:rPr>
          <w:rFonts w:ascii="Times New Roman" w:hAnsi="Times New Roman" w:eastAsia="黑体"/>
          <w:color w:val="000000"/>
          <w:lang w:eastAsia="zh-CN"/>
        </w:rPr>
        <w:t>8.5 TPC-C 事务与性能分析功能运行示例</w:t>
      </w:r>
      <w:bookmarkEnd w:id="99"/>
    </w:p>
    <w:p w14:paraId="75D9C318">
      <w:pPr>
        <w:spacing w:after="0"/>
      </w:pPr>
      <w:r>
        <w:t>New-Order 和 Payment 页面分别通过事务接口提交请求。成功时页面显示 committed 状态、transactionId、orderId 或 newBalance 以及 elapsedMs；参数校验失败或数据库步骤异常时，后端回滚并返回统一错误响应。性能页面读取已入库的 TPC-H/TPC-C 正式指标，展示线程数、成功/失败数、平均与最大延迟以及 QPS/TPS。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162DF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B91B55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5349240" cy="3714750"/>
                  <wp:effectExtent l="0" t="0" r="3810" b="0"/>
                  <wp:docPr id="27" name="Picture 27" descr="TPC CommerceInsight 系统运行截图" title="系统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DC6DB">
      <w:pPr>
        <w:spacing w:after="0"/>
        <w:jc w:val="center"/>
      </w:pPr>
      <w:r>
        <w:rPr>
          <w:color w:val="000000"/>
          <w:sz w:val="21"/>
        </w:rPr>
        <w:t>图 8-5 New-Order 事务运行示例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4AE39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  <w:cantSplit/>
          <w:tblHeader w:val="true"/>
        </w:trPr>
        <w:tc>
          <w:tcPr>
            <w:tcW w:w="86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9FAC9B">
            <w:pPr>
              <w:spacing w:before="0" w:after="0" w:line="300" w:lineRule="auto"/>
              <w:ind w:firstLine="0"/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5349240" cy="3714750"/>
                  <wp:effectExtent l="0" t="0" r="3810" b="0"/>
                  <wp:docPr id="28" name="Picture 28" descr="TPC CommerceInsight 系统运行截图" title="系统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65287">
      <w:pPr>
        <w:spacing w:after="0"/>
        <w:jc w:val="center"/>
      </w:pPr>
      <w:r>
        <w:rPr>
          <w:color w:val="000000"/>
          <w:sz w:val="21"/>
        </w:rPr>
        <w:t>图 8-6 Payment 事务运行示例</w:t>
      </w:r>
    </w:p>
    <w:p w14:paraId="55B300C0">
      <w:pPr>
        <w:pStyle w:val="3"/>
        <w:spacing w:before="0" w:after="0"/>
        <w:ind w:firstLine="0"/>
        <w:rPr>
          <w:lang w:eastAsia="zh-CN"/>
        </w:rPr>
      </w:pPr>
      <w:bookmarkStart w:id="100" w:name="__RefHeading___Toc5903_2153205702"/>
      <w:bookmarkEnd w:id="100"/>
      <w:bookmarkStart w:id="101" w:name="_Toc234332091"/>
      <w:bookmarkEnd w:id="101"/>
      <w:r>
        <w:rPr>
          <w:rFonts w:ascii="Times New Roman" w:hAnsi="Times New Roman" w:eastAsia="黑体"/>
          <w:color w:val="000000"/>
          <w:lang w:eastAsia="zh-CN"/>
        </w:rPr>
        <w:t>第 9 章 项目分工与协作</w:t>
      </w:r>
    </w:p>
    <w:p w14:paraId="4F30B41E">
      <w:pPr>
        <w:pStyle w:val="4"/>
        <w:spacing w:before="0" w:after="0"/>
        <w:ind w:firstLine="0"/>
        <w:rPr>
          <w:lang w:eastAsia="zh-CN"/>
        </w:rPr>
      </w:pPr>
      <w:bookmarkStart w:id="102" w:name="__RefHeading___Toc5905_2153205702"/>
      <w:bookmarkEnd w:id="102"/>
      <w:bookmarkStart w:id="103" w:name="_Toc234332092"/>
      <w:bookmarkEnd w:id="103"/>
      <w:r>
        <w:rPr>
          <w:rFonts w:ascii="Times New Roman" w:hAnsi="Times New Roman" w:eastAsia="黑体"/>
          <w:color w:val="000000"/>
          <w:lang w:eastAsia="zh-CN"/>
        </w:rPr>
        <w:t>9.1 任务分工</w:t>
      </w:r>
    </w:p>
    <w:p w14:paraId="1A7AD218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项目按数据库与 SQL、后端服务、前端与可视化、部署与性能测试四个工作方向协同推进。数据库与 SQL 模块维护表结构、约束、查询模板和事务脚本；后端服务模块依据 API 契约实现鉴权、用户与数据管理、业务查询、TPC-H 分析、TPC-C 事务及性能结果读取。</w:t>
      </w:r>
    </w:p>
    <w:p w14:paraId="1512E492">
      <w:pPr>
        <w:spacing w:after="0"/>
        <w:rPr>
          <w:lang w:eastAsia="zh-CN"/>
        </w:rPr>
      </w:pPr>
      <w:r>
        <w:t>前端与可视化模块负责 frontend/ 工程、Mock 数据、API 调用封装、路由与权限控制、ECharts 图表、页面联调记录和前端开发说明。该模块以 docs/api/api-contract.md 和 docs/api/mock-contract.md 为字段依据，所有页面仅使用 API/Mock 返回的 lowerCamelCase 字段。</w:t>
      </w:r>
    </w:p>
    <w:p>
      <w:r>
        <w:t>部署与性能测试模块负责运行环境、正式数据导入、迁移执行、性能实验及最终联调证据整理，完成 Docker PostgreSQL 16 环境、TPC-H COPY 导入、旧 volume 非破坏性升级、行数统计、EXPLAIN ANALYZE、索引前后对比、TPC-H/TPC-C 接口级并发测试、结果入库和真实库全量联调。</w:t>
      </w:r>
    </w:p>
    <w:p w14:paraId="74DAAB79">
      <w:pPr>
        <w:pStyle w:val="4"/>
        <w:spacing w:before="0" w:after="0"/>
        <w:ind w:firstLine="0"/>
        <w:rPr>
          <w:lang w:eastAsia="zh-CN"/>
        </w:rPr>
      </w:pPr>
      <w:bookmarkStart w:id="104" w:name="__RefHeading___Toc5907_2153205702"/>
      <w:bookmarkEnd w:id="104"/>
      <w:bookmarkStart w:id="105" w:name="_Toc234332093"/>
      <w:r>
        <w:rPr>
          <w:rFonts w:ascii="Times New Roman" w:hAnsi="Times New Roman" w:eastAsia="黑体"/>
          <w:color w:val="000000"/>
          <w:lang w:eastAsia="zh-CN"/>
        </w:rPr>
        <w:t>9.2 协作规范</w:t>
      </w:r>
      <w:bookmarkEnd w:id="105"/>
    </w:p>
    <w:p w14:paraId="03F1291D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小组协作坚持契约先行：docs/api/api-contract.md 与 docs/api/mock-contract.md 作为接口字段的共同依据，SQL 源资产统一维护在 sql/ 目录。DTO/VO 与 Mapper 处理数据库 snake_case 到 API lowerCamelCase 的映射，避免页面直接依赖表字段。</w:t>
      </w:r>
    </w:p>
    <w:p w14:paraId="33C9FD81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开发阶段采用 Git 分支协作与分层联调。前端可先使用 Mock 数据开发页面，后端在数据库基线可用后切换到 dev/prod profile；数据库结构或 SQL 变更通过契约文档同步，降低跨模块修改带来的风险。</w:t>
      </w:r>
    </w:p>
    <w:p w14:paraId="55C2DD3B">
      <w:pPr>
        <w:pStyle w:val="4"/>
        <w:spacing w:before="0" w:after="0"/>
        <w:ind w:firstLine="0"/>
        <w:rPr>
          <w:lang w:eastAsia="zh-CN"/>
        </w:rPr>
      </w:pPr>
      <w:bookmarkStart w:id="106" w:name="__RefHeading___Toc5909_2153205702"/>
      <w:bookmarkEnd w:id="106"/>
      <w:bookmarkStart w:id="107" w:name="_Toc234332094"/>
      <w:bookmarkEnd w:id="107"/>
      <w:r>
        <w:rPr>
          <w:rFonts w:ascii="Times New Roman" w:hAnsi="Times New Roman" w:eastAsia="黑体"/>
          <w:color w:val="000000"/>
          <w:lang w:eastAsia="zh-CN"/>
        </w:rPr>
        <w:t>9.3 交付物汇总</w:t>
      </w:r>
    </w:p>
    <w:p w14:paraId="2FADF3E8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数据库与 SQL 交付包括 sql/ 下的 V1 至 V13 脚本、docs/database/ 下的设计说明，以及表结构、约束、触发器、存储过程、查询模板、事务模板、样例数据、执行计划模板和旧数据卷兼容迁移。上述资产作为 Docker 初始化、后端数据访问和性能实验的共同数据库依据。</w:t>
      </w:r>
    </w:p>
    <w:p w14:paraId="2FADF3E8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后端交付包括 backend/ 下的 Spring Boot 工程、认证与用户管理接口、导入导出与业务查询接口、TPC-H 和 TPC-C 服务、性能结果接口，以及运行说明、API 契约对照和真实库联调清单。单元测试与接口测试作为代码验收依据，系统截图和联调记录作为运行证据。</w:t>
      </w:r>
    </w:p>
    <w:p w14:paraId="2409C268">
      <w:pPr>
        <w:spacing w:after="0"/>
        <w:rPr>
          <w:lang w:eastAsia="zh-CN"/>
        </w:rPr>
      </w:pPr>
      <w:r>
        <w:t>前端交付包括 frontend/ 下的 Vue 3 工程、登录注册与主布局页面、系统总览、用户管理、数据导入导出、业务查询、TPC-H 分析、TPC-C 事务和性能分析页面，以及 Mock 数据、Axios 封装、路由守卫、Pinia 登录状态管理、ECharts 图表和联调记录。npm.cmd run build 构建检查已通过；全量联调中，真实接口访问统计为 failedApi=0。</w:t>
      </w:r>
    </w:p>
    <w:p>
      <w:r>
        <w:t>部署与性能测试交付包括 db/docker-compose.yml、db/init/00_run_sql_assets.sh，db/scripts 下的环境验证、非破坏性迁移、强制确认重置、正式 COPY 与统计脚本，test 下的两个独立并发测试入口，以及 report/import_logs、report/explain_plans、report/performance、report/integration_logs、report/screenshots 下的最终证据。开发记录与严格审查结论同步保存在 docs 目录。</w:t>
      </w:r>
    </w:p>
    <w:p w14:paraId="3F72CC18">
      <w:pPr>
        <w:pStyle w:val="4"/>
        <w:spacing w:before="0" w:after="0"/>
        <w:ind w:firstLine="0"/>
        <w:rPr>
          <w:lang w:eastAsia="zh-CN"/>
        </w:rPr>
      </w:pPr>
      <w:bookmarkStart w:id="108" w:name="__RefHeading___Toc5911_2153205702"/>
      <w:bookmarkEnd w:id="108"/>
      <w:bookmarkStart w:id="109" w:name="_Toc234332095"/>
      <w:r>
        <w:rPr>
          <w:rFonts w:ascii="Times New Roman" w:hAnsi="Times New Roman" w:eastAsia="黑体"/>
          <w:color w:val="000000"/>
          <w:lang w:eastAsia="zh-CN"/>
        </w:rPr>
        <w:t>9.4 项目开发进度安排</w:t>
      </w:r>
      <w:bookmarkEnd w:id="109"/>
    </w:p>
    <w:p w14:paraId="320C9321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数据库与 SQL 模块按“模型设计—约束与事务脚本—查询模板—执行计划验证”推进；后端服务模块按“基础工程与契约—Mock 接口—真实库适配—联调与验收”推进。后端首先完成统一响应、异常处理和 Mock Repository，以支持前端并行开发，随后接入 PostgreSQL 的 JDBC/MyBatis 实现，并核对 TPC-H 查询字段与 TPC-C 事务边界。</w:t>
      </w:r>
    </w:p>
    <w:p w14:paraId="6DE3BE16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当正式数据库环境尚未准备完成时，项目使用 mock profile 保持接口可调用，并将真实库 HTTP 验证列入联调清单。该处理保证了开发连续性，同时避免把 Mock 验证误写为真实库性能结论。</w:t>
      </w:r>
    </w:p>
    <w:p w14:paraId="53DCE82E">
      <w:pPr>
        <w:spacing w:after="0"/>
        <w:rPr>
          <w:lang w:eastAsia="zh-CN"/>
        </w:rPr>
      </w:pPr>
      <w:r>
        <w:t>前端与可视化模块按“Mock 页面搭建—API 契约对齐—真实接口联调—视觉与截图材料整理”推进。在真实数据库环境尚未稳定前，前端通过本地 Mock 保持页面可演示；后端 dev profile 和性能数据准备完成后，前端切换 VITE_USE_MOCK=false 开展真实接口联调，并根据结果修正 TPC-H 默认参数、零部件供应页面标题和 CSV 导出展示等问题。</w:t>
      </w:r>
    </w:p>
    <w:p>
      <w:r>
        <w:t>部署与性能测试流程按“环境验证—新旧数据卷迁移—正式 COPY—索引与执行计划实验—接口级并发测试—结果入库—真实库全量联调—证据归档”推进。最终在 SF=0.1 数据上完成 866,602 行导入、8 份执行计划、120 次零失败并发请求、40 项后端测试、19 项 HTTP 冒烟和真实页面截图。</w:t>
      </w:r>
    </w:p>
    <w:p w14:paraId="27752DBC">
      <w:pPr>
        <w:spacing w:after="0"/>
        <w:jc w:val="center"/>
      </w:pPr>
      <w:r>
        <w:rPr>
          <w:color w:val="000000"/>
          <w:sz w:val="21"/>
        </w:rPr>
        <w:t>表 9-1 项目任务分工表</w:t>
      </w:r>
    </w:p>
    <w:tbl>
      <w:tblPr>
        <w:tblStyle w:val="38"/>
        <w:tblW w:w="86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03CE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568497B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工作方向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CD7D8C4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负责人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A38BF4">
            <w:pPr>
              <w:spacing w:line="300" w:lineRule="auto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</w:rPr>
              <w:t>主要交付物</w:t>
            </w:r>
          </w:p>
        </w:tc>
      </w:tr>
      <w:tr w14:paraId="00A99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1DEDA3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数据库设计与 SQL 资产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323472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数据库与 SQL 负责人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12D607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SQL 脚本、数据库设计文档、数据库设计与 SQL 实现章节</w:t>
            </w:r>
          </w:p>
        </w:tc>
      </w:tr>
      <w:tr w14:paraId="549BF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3FB5DE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后端接口与事务服务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30BB60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周嘉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9119EA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Spring Boot 后端、API 文档、TPC-H/TPC-C 服务、联调清单</w:t>
            </w:r>
          </w:p>
        </w:tc>
      </w:tr>
      <w:tr w14:paraId="49433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66CCF7">
            <w:pPr>
              <w:spacing w:line="300" w:lineRule="auto"/>
              <w:ind w:firstLine="0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</w:rPr>
              <w:t>前端展示与可视化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5D21D16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曹伊凡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B2AA7D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Vue 前端、系统截图、演示流程、前端实现章节</w:t>
            </w:r>
          </w:p>
        </w:tc>
      </w:tr>
      <w:tr w14:paraId="25C71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2A1574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环境部署与性能测试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85E1FF">
            <w:pPr>
              <w:spacing w:line="300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eastAsia="Songti SC"/>
                <w:color w:val="000000"/>
                <w:lang w:eastAsia="zh-CN"/>
              </w:rPr>
              <w:t>部署与性能测试负责人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3BF230">
            <w:pPr>
              <w:spacing w:line="300" w:lineRule="auto"/>
              <w:ind w:firstLine="0"/>
            </w:pPr>
            <w:r>
              <w:rPr>
                <w:rFonts w:ascii="Times New Roman" w:hAnsi="Times New Roman" w:eastAsia="Songti SC"/>
                <w:color w:val="000000"/>
              </w:rPr>
              <w:t>Docker、COPY、迁移、压测与联调证据</w:t>
            </w:r>
          </w:p>
        </w:tc>
      </w:tr>
    </w:tbl>
    <w:p w14:paraId="28C57C3B">
      <w:pPr>
        <w:pStyle w:val="3"/>
        <w:spacing w:before="0" w:after="0"/>
        <w:ind w:firstLine="0"/>
      </w:pPr>
      <w:bookmarkStart w:id="110" w:name="__RefHeading___Toc5913_2153205702"/>
      <w:bookmarkEnd w:id="110"/>
      <w:bookmarkStart w:id="111" w:name="_Toc234332096"/>
      <w:r>
        <w:rPr>
          <w:rFonts w:ascii="Times New Roman" w:hAnsi="Times New Roman" w:eastAsia="黑体"/>
          <w:color w:val="000000"/>
        </w:rPr>
        <w:t>第 10 章 总结</w:t>
      </w:r>
      <w:bookmarkEnd w:id="111"/>
    </w:p>
    <w:p w14:paraId="3B3BB050">
      <w:pPr>
        <w:pStyle w:val="4"/>
        <w:spacing w:before="0" w:after="0"/>
        <w:ind w:firstLine="0"/>
      </w:pPr>
      <w:bookmarkStart w:id="112" w:name="__RefHeading___Toc5915_2153205702"/>
      <w:bookmarkEnd w:id="112"/>
      <w:bookmarkStart w:id="113" w:name="_Toc234332097"/>
      <w:r>
        <w:rPr>
          <w:rFonts w:ascii="Times New Roman" w:hAnsi="Times New Roman" w:eastAsia="黑体"/>
          <w:color w:val="000000"/>
        </w:rPr>
        <w:t>10.1 项目完成情况</w:t>
      </w:r>
      <w:bookmarkEnd w:id="113"/>
    </w:p>
    <w:p w14:paraId="7BE7AE79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系统已形成从用户与权限、数据管理、业务查询、TPC-H 统计分析到 TPC-C 事务处理和性能结果展示的完整链路。后端服务将页面请求、数据库访问、日志记录和事务回滚统一在明确的接口边界内，为系统演示和联调提供稳定支撑。</w:t>
      </w:r>
    </w:p>
    <w:p w14:paraId="021D47C1">
      <w:pPr>
        <w:pStyle w:val="4"/>
        <w:spacing w:before="0" w:after="0"/>
        <w:ind w:firstLine="0"/>
        <w:rPr>
          <w:lang w:eastAsia="zh-CN"/>
        </w:rPr>
      </w:pPr>
      <w:bookmarkStart w:id="114" w:name="__RefHeading___Toc5917_2153205702"/>
      <w:bookmarkEnd w:id="114"/>
      <w:bookmarkStart w:id="115" w:name="_Toc234332098"/>
      <w:r>
        <w:rPr>
          <w:rFonts w:ascii="Times New Roman" w:hAnsi="Times New Roman" w:eastAsia="黑体"/>
          <w:color w:val="000000"/>
          <w:lang w:eastAsia="zh-CN"/>
        </w:rPr>
        <w:t>10.2 项目特色与亮点</w:t>
      </w:r>
      <w:bookmarkEnd w:id="115"/>
    </w:p>
    <w:p w14:paraId="38566AE4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系统的亮点在于同时覆盖 TPC-H 分析和 TPC-C 事务两类典型数据库任务，并通过 API 契约、Mock profile 与真实 PostgreSQL profile 将前后端协作和数据库验证串联起来。后端以统一响应、统一异常、字段映射和事务控制保证了跨层交互的一致性。</w:t>
      </w:r>
    </w:p>
    <w:p w14:paraId="664F7403">
      <w:pPr>
        <w:pStyle w:val="4"/>
        <w:spacing w:before="0" w:after="0"/>
        <w:ind w:firstLine="0"/>
        <w:rPr>
          <w:lang w:eastAsia="zh-CN"/>
        </w:rPr>
      </w:pPr>
      <w:bookmarkStart w:id="116" w:name="__RefHeading___Toc5919_2153205702"/>
      <w:bookmarkEnd w:id="116"/>
      <w:bookmarkStart w:id="117" w:name="_Toc234332099"/>
      <w:r>
        <w:rPr>
          <w:rFonts w:ascii="Times New Roman" w:hAnsi="Times New Roman" w:eastAsia="黑体"/>
          <w:color w:val="000000"/>
          <w:lang w:eastAsia="zh-CN"/>
        </w:rPr>
        <w:t>10.3 存在的问题</w:t>
      </w:r>
      <w:bookmarkEnd w:id="117"/>
    </w:p>
    <w:p w14:paraId="11227700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当前实现仍受课程设计范围与本机资源限制：正式性能证据已在 SF=0.1 上完成，尚未扩展到 SF=0.6 或 SF=1；前端已经完成真实浏览器人工回归，但尚未建立可重复执行的 Playwright 自动化套件；TPC-C 事务覆盖 New-Order 与 Payment 两类核心场景，未扩展到完整事务集合。</w:t>
      </w:r>
    </w:p>
    <w:p w14:paraId="723C01A8">
      <w:pPr>
        <w:pStyle w:val="4"/>
        <w:spacing w:before="0" w:after="0"/>
        <w:ind w:firstLine="0"/>
        <w:rPr>
          <w:lang w:eastAsia="zh-CN"/>
        </w:rPr>
      </w:pPr>
      <w:bookmarkStart w:id="118" w:name="__RefHeading___Toc5921_2153205702"/>
      <w:bookmarkEnd w:id="118"/>
      <w:bookmarkStart w:id="119" w:name="_Toc234332100"/>
      <w:r>
        <w:rPr>
          <w:rFonts w:ascii="Times New Roman" w:hAnsi="Times New Roman" w:eastAsia="黑体"/>
          <w:color w:val="000000"/>
          <w:lang w:eastAsia="zh-CN"/>
        </w:rPr>
        <w:t>10.4 改进方向</w:t>
      </w:r>
      <w:bookmarkEnd w:id="119"/>
    </w:p>
    <w:p w14:paraId="03186EE4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后续可在机器条件允许时补充 SF=0.6/SF=1 对比，增加登录、TPC-H、New-Order、Payment 和性能页的 Playwright 自动化回归，并继续完善连接池、SQL 与缓存调优。性能结果接口还可增加按时间、并发度和数据规模的多维筛选。最终演示必须显式设置 VITE_USE_MOCK=false，避免将 Mock 数据误认为正式结果。</w:t>
      </w:r>
    </w:p>
    <w:p w14:paraId="5B62C0D2">
      <w:pPr>
        <w:pStyle w:val="4"/>
        <w:spacing w:before="0" w:after="0"/>
        <w:ind w:firstLine="0"/>
        <w:rPr>
          <w:lang w:eastAsia="zh-CN"/>
        </w:rPr>
      </w:pPr>
      <w:bookmarkStart w:id="120" w:name="__RefHeading___Toc5923_2153205702"/>
      <w:bookmarkEnd w:id="120"/>
      <w:bookmarkStart w:id="121" w:name="_Toc234332101"/>
      <w:r>
        <w:rPr>
          <w:rFonts w:ascii="Times New Roman" w:hAnsi="Times New Roman" w:eastAsia="黑体"/>
          <w:color w:val="000000"/>
          <w:lang w:eastAsia="zh-CN"/>
        </w:rPr>
        <w:t>10.5 课程设计收获</w:t>
      </w:r>
      <w:bookmarkEnd w:id="121"/>
    </w:p>
    <w:p w14:paraId="768C27A2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本课程设计综合运用了 Spring Boot 分层开发、REST API 契约设计、DTO/VO 字段映射、MyBatis/JDBC 数据访问和 Spring 事务控制。实践表明，先冻结接口字段、通过 Mock 并行开发、再在真实库中逐项联调，能够有效降低数据库系统项目的协作成本。</w:t>
      </w:r>
    </w:p>
    <w:p w14:paraId="79D95F8B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233354B4">
      <w:pPr>
        <w:pStyle w:val="3"/>
        <w:spacing w:before="0" w:after="0"/>
        <w:ind w:firstLine="0"/>
        <w:rPr>
          <w:lang w:eastAsia="zh-CN"/>
        </w:rPr>
      </w:pPr>
      <w:bookmarkStart w:id="122" w:name="__RefHeading___Toc5925_2153205702"/>
      <w:bookmarkEnd w:id="122"/>
      <w:bookmarkStart w:id="123" w:name="_Toc234332102"/>
      <w:r>
        <w:rPr>
          <w:rFonts w:ascii="Times New Roman" w:hAnsi="Times New Roman" w:eastAsia="黑体"/>
          <w:color w:val="000000"/>
          <w:lang w:eastAsia="zh-CN"/>
        </w:rPr>
        <w:t>附录一 核心 SQL 脚本</w:t>
      </w:r>
      <w:bookmarkEnd w:id="123"/>
    </w:p>
    <w:p w14:paraId="034544F4">
      <w:pPr>
        <w:spacing w:after="0"/>
        <w:rPr>
          <w:lang w:eastAsia="zh-CN"/>
        </w:rPr>
      </w:pPr>
      <w:r>
        <w:rPr>
          <w:color w:val="000000"/>
          <w:lang w:eastAsia="zh-CN"/>
        </w:rPr>
        <w:t>本附录汇总核心 SQL 脚本及其用途。完整实现以仓库 sql/ 目录为准，正文仅摘录关键片段，以兼顾可读性与可追溯性。</w:t>
      </w:r>
    </w:p>
    <w:p w14:paraId="1372E3AA">
      <w:pPr>
        <w:spacing w:after="0"/>
        <w:ind w:firstLine="0"/>
        <w:jc w:val="center"/>
        <w:rPr>
          <w:lang w:eastAsia="zh-CN"/>
        </w:rPr>
      </w:pPr>
      <w:r>
        <w:rPr>
          <w:color w:val="000000"/>
          <w:lang w:eastAsia="zh-CN"/>
        </w:rPr>
        <w:t>表 A-1 数据库与 SQL 核心脚本索引</w:t>
      </w:r>
    </w:p>
    <w:tbl>
      <w:tblPr>
        <w:tblStyle w:val="39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6"/>
        <w:gridCol w:w="2719"/>
        <w:gridCol w:w="2547"/>
      </w:tblGrid>
      <w:tr w14:paraId="52B0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  <w:cantSplit/>
        </w:trPr>
        <w:tc>
          <w:tcPr>
            <w:tcW w:w="3596" w:type="dxa"/>
            <w:vAlign w:val="center"/>
          </w:tcPr>
          <w:p w14:paraId="3994ABE1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文件</w:t>
            </w:r>
          </w:p>
        </w:tc>
        <w:tc>
          <w:tcPr>
            <w:tcW w:w="2719" w:type="dxa"/>
            <w:vAlign w:val="center"/>
          </w:tcPr>
          <w:p w14:paraId="1792AD49">
            <w:pPr>
              <w:spacing w:after="0" w:line="300" w:lineRule="auto"/>
              <w:ind w:firstLine="0"/>
              <w:jc w:val="center"/>
            </w:pPr>
            <w:r>
              <w:rPr>
                <w:b/>
                <w:color w:val="000000"/>
              </w:rPr>
              <w:t>内容</w:t>
            </w:r>
          </w:p>
        </w:tc>
        <w:tc>
          <w:tcPr>
            <w:tcW w:w="2547" w:type="dxa"/>
            <w:vAlign w:val="center"/>
          </w:tcPr>
          <w:p w14:paraId="710E7520">
            <w:pPr>
              <w:spacing w:after="0" w:line="30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维护归属</w:t>
            </w:r>
          </w:p>
        </w:tc>
      </w:tr>
      <w:tr w14:paraId="313D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4EDC85A5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sql/V1__create_tpch_tables.sql</w:t>
            </w:r>
          </w:p>
        </w:tc>
        <w:tc>
          <w:tcPr>
            <w:tcW w:w="2719" w:type="dxa"/>
            <w:vAlign w:val="center"/>
          </w:tcPr>
          <w:p w14:paraId="7CFFDF28">
            <w:pPr>
              <w:spacing w:after="0" w:line="300" w:lineRule="auto"/>
              <w:ind w:firstLine="0"/>
            </w:pPr>
            <w:r>
              <w:rPr>
                <w:color w:val="000000"/>
              </w:rPr>
              <w:t>TPC-H 8 表建表脚本</w:t>
            </w:r>
          </w:p>
        </w:tc>
        <w:tc>
          <w:tcPr>
            <w:tcW w:w="2547" w:type="dxa"/>
            <w:vAlign w:val="center"/>
          </w:tcPr>
          <w:p w14:paraId="7F210806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0173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2B68543F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sql/V2__create_tpcc_tables.sql</w:t>
            </w:r>
          </w:p>
        </w:tc>
        <w:tc>
          <w:tcPr>
            <w:tcW w:w="2719" w:type="dxa"/>
            <w:vAlign w:val="center"/>
          </w:tcPr>
          <w:p w14:paraId="5C74BF10">
            <w:pPr>
              <w:spacing w:after="0" w:line="300" w:lineRule="auto"/>
              <w:ind w:firstLine="0"/>
            </w:pPr>
            <w:r>
              <w:rPr>
                <w:color w:val="000000"/>
              </w:rPr>
              <w:t>TPC-C New-Order/Payment 必要表</w:t>
            </w:r>
          </w:p>
        </w:tc>
        <w:tc>
          <w:tcPr>
            <w:tcW w:w="2547" w:type="dxa"/>
            <w:vAlign w:val="center"/>
          </w:tcPr>
          <w:p w14:paraId="05D2C246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3F9B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4FF71ADB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sql/V3__create_app_tables.sql</w:t>
            </w:r>
          </w:p>
        </w:tc>
        <w:tc>
          <w:tcPr>
            <w:tcW w:w="2719" w:type="dxa"/>
            <w:vAlign w:val="center"/>
          </w:tcPr>
          <w:p w14:paraId="55CE166E">
            <w:pPr>
              <w:spacing w:after="0" w:line="300" w:lineRule="auto"/>
              <w:ind w:firstLine="0"/>
            </w:pPr>
            <w:r>
              <w:rPr>
                <w:color w:val="000000"/>
              </w:rPr>
              <w:t>应用辅助表</w:t>
            </w:r>
          </w:p>
        </w:tc>
        <w:tc>
          <w:tcPr>
            <w:tcW w:w="2547" w:type="dxa"/>
            <w:vAlign w:val="center"/>
          </w:tcPr>
          <w:p w14:paraId="5E3F5B37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2168F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4299A502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sql/V4__add_constraints.sql</w:t>
            </w:r>
          </w:p>
        </w:tc>
        <w:tc>
          <w:tcPr>
            <w:tcW w:w="2719" w:type="dxa"/>
            <w:vAlign w:val="center"/>
          </w:tcPr>
          <w:p w14:paraId="1B5C0AAE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主键、外键、CHECK、唯一约束</w:t>
            </w:r>
          </w:p>
        </w:tc>
        <w:tc>
          <w:tcPr>
            <w:tcW w:w="2547" w:type="dxa"/>
            <w:vAlign w:val="center"/>
          </w:tcPr>
          <w:p w14:paraId="35127D98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435B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52A0168E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sql/V5__tpch_queries.sql</w:t>
            </w:r>
          </w:p>
        </w:tc>
        <w:tc>
          <w:tcPr>
            <w:tcW w:w="2719" w:type="dxa"/>
            <w:vAlign w:val="center"/>
          </w:tcPr>
          <w:p w14:paraId="628E2F9C">
            <w:pPr>
              <w:spacing w:after="0" w:line="300" w:lineRule="auto"/>
              <w:ind w:firstLine="0"/>
            </w:pPr>
            <w:r>
              <w:rPr>
                <w:color w:val="000000"/>
              </w:rPr>
              <w:t>Q1/Q5/Q12/Q14 查询</w:t>
            </w:r>
          </w:p>
        </w:tc>
        <w:tc>
          <w:tcPr>
            <w:tcW w:w="2547" w:type="dxa"/>
            <w:vAlign w:val="center"/>
          </w:tcPr>
          <w:p w14:paraId="03C54E57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4E5F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16BBAC88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sql/V6__tpcc_transaction_sql.sql</w:t>
            </w:r>
          </w:p>
        </w:tc>
        <w:tc>
          <w:tcPr>
            <w:tcW w:w="2719" w:type="dxa"/>
            <w:vAlign w:val="center"/>
          </w:tcPr>
          <w:p w14:paraId="38D68964">
            <w:pPr>
              <w:spacing w:after="0" w:line="300" w:lineRule="auto"/>
              <w:ind w:firstLine="0"/>
            </w:pPr>
            <w:r>
              <w:rPr>
                <w:color w:val="000000"/>
              </w:rPr>
              <w:t>TPC-C 事务 SQL 模板</w:t>
            </w:r>
          </w:p>
        </w:tc>
        <w:tc>
          <w:tcPr>
            <w:tcW w:w="2547" w:type="dxa"/>
            <w:vAlign w:val="center"/>
          </w:tcPr>
          <w:p w14:paraId="19618CB5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57CD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4C054BBD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sql/V7__import_cleaning_rules.sql</w:t>
            </w:r>
          </w:p>
        </w:tc>
        <w:tc>
          <w:tcPr>
            <w:tcW w:w="2719" w:type="dxa"/>
            <w:vAlign w:val="center"/>
          </w:tcPr>
          <w:p w14:paraId="0237644F">
            <w:pPr>
              <w:spacing w:after="0" w:line="300" w:lineRule="auto"/>
              <w:ind w:firstLine="0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导入清洗模板和错误编码</w:t>
            </w:r>
          </w:p>
        </w:tc>
        <w:tc>
          <w:tcPr>
            <w:tcW w:w="2547" w:type="dxa"/>
            <w:vAlign w:val="center"/>
          </w:tcPr>
          <w:p w14:paraId="220FEB97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10D0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0B2058A4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sql/V8__triggers.sql</w:t>
            </w:r>
          </w:p>
        </w:tc>
        <w:tc>
          <w:tcPr>
            <w:tcW w:w="2719" w:type="dxa"/>
            <w:vAlign w:val="center"/>
          </w:tcPr>
          <w:p w14:paraId="72F54712">
            <w:pPr>
              <w:spacing w:after="0" w:line="300" w:lineRule="auto"/>
              <w:ind w:firstLine="0"/>
            </w:pPr>
            <w:r>
              <w:rPr>
                <w:color w:val="000000"/>
              </w:rPr>
              <w:t>触发器定义</w:t>
            </w:r>
          </w:p>
        </w:tc>
        <w:tc>
          <w:tcPr>
            <w:tcW w:w="2547" w:type="dxa"/>
            <w:vAlign w:val="center"/>
          </w:tcPr>
          <w:p w14:paraId="46B45FEB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0B94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2FACCC71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sql/V9__procedures.sql</w:t>
            </w:r>
          </w:p>
        </w:tc>
        <w:tc>
          <w:tcPr>
            <w:tcW w:w="2719" w:type="dxa"/>
            <w:vAlign w:val="center"/>
          </w:tcPr>
          <w:p w14:paraId="132BD981">
            <w:pPr>
              <w:spacing w:after="0" w:line="300" w:lineRule="auto"/>
              <w:ind w:firstLine="0"/>
            </w:pPr>
            <w:r>
              <w:rPr>
                <w:color w:val="000000"/>
              </w:rPr>
              <w:t>存储过程/函数定义</w:t>
            </w:r>
          </w:p>
        </w:tc>
        <w:tc>
          <w:tcPr>
            <w:tcW w:w="2547" w:type="dxa"/>
            <w:vAlign w:val="center"/>
          </w:tcPr>
          <w:p w14:paraId="1443E429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3B37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6377353B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sql/V10__indexes_baseline.sql</w:t>
            </w:r>
          </w:p>
        </w:tc>
        <w:tc>
          <w:tcPr>
            <w:tcW w:w="2719" w:type="dxa"/>
            <w:vAlign w:val="center"/>
          </w:tcPr>
          <w:p w14:paraId="6F4208C0">
            <w:pPr>
              <w:spacing w:after="0" w:line="300" w:lineRule="auto"/>
              <w:ind w:firstLine="0"/>
            </w:pPr>
            <w:r>
              <w:rPr>
                <w:color w:val="000000"/>
              </w:rPr>
              <w:t>基线索引</w:t>
            </w:r>
          </w:p>
        </w:tc>
        <w:tc>
          <w:tcPr>
            <w:tcW w:w="2547" w:type="dxa"/>
            <w:vAlign w:val="center"/>
          </w:tcPr>
          <w:p w14:paraId="5356924E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0E0D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5CE3638A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sql/V11__sample_data.sql</w:t>
            </w:r>
          </w:p>
        </w:tc>
        <w:tc>
          <w:tcPr>
            <w:tcW w:w="2719" w:type="dxa"/>
            <w:vAlign w:val="center"/>
          </w:tcPr>
          <w:p w14:paraId="1A6E7A54">
            <w:pPr>
              <w:spacing w:after="0" w:line="300" w:lineRule="auto"/>
              <w:ind w:firstLine="0"/>
            </w:pPr>
            <w:r>
              <w:rPr>
                <w:color w:val="000000"/>
              </w:rPr>
              <w:t>样例数据</w:t>
            </w:r>
          </w:p>
        </w:tc>
        <w:tc>
          <w:tcPr>
            <w:tcW w:w="2547" w:type="dxa"/>
            <w:vAlign w:val="center"/>
          </w:tcPr>
          <w:p w14:paraId="1B57B026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1C1E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3447D1E5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sql/V12__explain_baseline.sql</w:t>
            </w:r>
          </w:p>
        </w:tc>
        <w:tc>
          <w:tcPr>
            <w:tcW w:w="2719" w:type="dxa"/>
            <w:vAlign w:val="center"/>
          </w:tcPr>
          <w:p w14:paraId="424BFE1B">
            <w:pPr>
              <w:spacing w:after="0" w:line="300" w:lineRule="auto"/>
              <w:ind w:firstLine="0"/>
            </w:pPr>
            <w:r>
              <w:rPr>
                <w:color w:val="000000"/>
              </w:rPr>
              <w:t>EXPLAIN ANALYZE 模板</w:t>
            </w:r>
          </w:p>
        </w:tc>
        <w:tc>
          <w:tcPr>
            <w:tcW w:w="2547" w:type="dxa"/>
            <w:vAlign w:val="center"/>
          </w:tcPr>
          <w:p w14:paraId="78602952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  <w:tr w14:paraId="1C1E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596" w:type="dxa"/>
            <w:vAlign w:val="center"/>
          </w:tcPr>
          <w:p w14:paraId="3447D1E5">
            <w:pPr>
              <w:spacing w:after="0" w:line="300" w:lineRule="auto"/>
              <w:ind w:firstLine="0"/>
            </w:pPr>
            <w:r>
              <w:rPr>
                <w:color w:val="000000"/>
              </w:rPr>
              <w:t>sql/V13__migrate_legacy_stock_change_log.sql</w:t>
            </w:r>
          </w:p>
        </w:tc>
        <w:tc>
          <w:tcPr>
            <w:tcW w:w="2719" w:type="dxa"/>
            <w:vAlign w:val="center"/>
          </w:tcPr>
          <w:p w14:paraId="424BFE1B">
            <w:pPr>
              <w:spacing w:after="0" w:line="300" w:lineRule="auto"/>
              <w:ind w:firstLine="0"/>
            </w:pPr>
            <w:r>
              <w:rPr>
                <w:color w:val="000000"/>
              </w:rPr>
              <w:t>旧数据卷字段与触发器兼容迁移</w:t>
            </w:r>
          </w:p>
        </w:tc>
        <w:tc>
          <w:tcPr>
            <w:tcW w:w="2547" w:type="dxa"/>
            <w:vAlign w:val="center"/>
          </w:tcPr>
          <w:p w14:paraId="78602952">
            <w:pPr>
              <w:spacing w:after="0" w:line="300" w:lineRule="auto"/>
              <w:ind w:firstLine="0"/>
            </w:pPr>
            <w:r>
              <w:rPr>
                <w:color w:val="000000"/>
              </w:rPr>
              <w:t>数据库与 SQL 模块</w:t>
            </w:r>
          </w:p>
        </w:tc>
      </w:tr>
    </w:tbl>
    <w:p w14:paraId="4DE38DAC">
      <w:pPr>
        <w:pStyle w:val="3"/>
        <w:spacing w:before="0" w:after="0"/>
        <w:ind w:firstLine="0"/>
      </w:pPr>
      <w:bookmarkStart w:id="124" w:name="__RefHeading___Toc5927_2153205702"/>
      <w:bookmarkEnd w:id="124"/>
      <w:bookmarkStart w:id="125" w:name="_Toc234332103"/>
      <w:r>
        <w:rPr>
          <w:rFonts w:ascii="Times New Roman" w:hAnsi="Times New Roman" w:eastAsia="黑体"/>
          <w:color w:val="000000"/>
        </w:rPr>
        <w:t>附录二 API 接口清单</w:t>
      </w:r>
      <w:bookmarkEnd w:id="125"/>
    </w:p>
    <w:p w14:paraId="69B3112F">
      <w:pPr>
        <w:spacing w:after="0"/>
        <w:rPr>
          <w:lang w:eastAsia="zh-CN"/>
        </w:rPr>
      </w:pPr>
      <w:r>
        <w:t>前端接口调用以 docs/api/api-contract.md、docs/api/mock-contract.md 和 docs/api/examples/ 为准。前端 request 封装统一处理 /api 前缀、响应解包和错误提示；真实接口模式下通过 Vite 代理访问 http://localhost:8080。页面不直接依赖 SQL 字段或数据库表结构。</w:t>
      </w:r>
    </w:p>
    <w:p w14:paraId="2DBEEF6E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后端接口按用户认证、用户管理、数据管理、业务查询、TPC-H、TPC-C 与性能结果分类维护。完整路径、方法、请求参数和响应字段见 docs/api/api-contract.md、docs/api/mock-contract.md 及 docs/api/examples/ 目录；本文列出核心调用范围以便验收。</w:t>
      </w:r>
    </w:p>
    <w:p w14:paraId="10F410AD">
      <w:pPr>
        <w:pStyle w:val="3"/>
        <w:spacing w:before="0" w:after="0"/>
        <w:ind w:firstLine="0"/>
        <w:rPr>
          <w:lang w:eastAsia="zh-CN"/>
        </w:rPr>
      </w:pPr>
      <w:bookmarkStart w:id="126" w:name="__RefHeading___Toc5929_2153205702"/>
      <w:bookmarkEnd w:id="126"/>
      <w:bookmarkStart w:id="127" w:name="_Toc234332104"/>
      <w:r>
        <w:rPr>
          <w:rFonts w:ascii="Times New Roman" w:hAnsi="Times New Roman" w:eastAsia="黑体"/>
          <w:color w:val="000000"/>
          <w:lang w:eastAsia="zh-CN"/>
        </w:rPr>
        <w:t>附录三 性能测试结果</w:t>
      </w:r>
      <w:bookmarkEnd w:id="127"/>
    </w:p>
    <w:p w14:paraId="7E307BC9">
      <w:pPr>
        <w:spacing w:after="0"/>
        <w:rPr>
          <w:lang w:eastAsia="zh-CN"/>
        </w:rPr>
      </w:pPr>
      <w:r>
        <w:t>性能测试原始结果归档在 report/performance 与 report/explain_plans。SF=0.1 索引前后执行时间为：Q1 125.949/133.089 ms，Q5 32.032/26.486 ms，Q12 48.823/32.338 ms，Q14 23.883/16.017 ms。接口并发测试均使用 4 个线程和每组 20 次请求：TPC-H 四组平均延迟依次为 184.648、37.891、29.319、19.017 ms；TPC-C New-Order 与 Payment 平均延迟为 52.562、34.357 ms。六组共 120 次请求全部成功并完成结果入库。</w:t>
      </w:r>
    </w:p>
    <w:p w14:paraId="2509BE0A">
      <w:pPr>
        <w:pStyle w:val="3"/>
        <w:spacing w:before="0" w:after="0"/>
        <w:ind w:firstLine="0"/>
        <w:rPr>
          <w:lang w:eastAsia="zh-CN"/>
        </w:rPr>
      </w:pPr>
      <w:bookmarkStart w:id="128" w:name="__RefHeading___Toc5931_2153205702"/>
      <w:bookmarkEnd w:id="128"/>
      <w:bookmarkStart w:id="129" w:name="_Toc234332105"/>
      <w:r>
        <w:rPr>
          <w:rFonts w:ascii="Times New Roman" w:hAnsi="Times New Roman" w:eastAsia="黑体"/>
          <w:color w:val="000000"/>
          <w:lang w:eastAsia="zh-CN"/>
        </w:rPr>
        <w:t>附录四 系统部署与运行说明</w:t>
      </w:r>
      <w:bookmarkEnd w:id="129"/>
    </w:p>
    <w:p w14:paraId="72A9E6FC">
      <w:pPr>
        <w:spacing w:after="0"/>
        <w:rPr>
          <w:lang w:eastAsia="zh-CN"/>
        </w:rPr>
      </w:pPr>
      <w:r>
        <w:t>前端运行方式：进入 frontend/ 目录后执行 npm.cmd install 安装依赖，执行 npm.cmd run dev 启动开发服务器，默认访问 http://localhost:5173。默认模式使用前端 Mock 数据，可独立演示核心页面。</w:t>
      </w:r>
    </w:p>
    <w:p w14:paraId="3246E4C1">
      <w:pPr>
        <w:spacing w:after="0"/>
        <w:rPr>
          <w:lang w:eastAsia="zh-CN"/>
        </w:rPr>
      </w:pPr>
      <w:r>
        <w:t>真实后端联调方式：先在 backend/ 目录使用 dev 或 prod profile 启动 Spring Boot 后端，再在 frontend/ 目录设置 $env:VITE_USE_MOCK="false" 并执行 npm.cmd run dev。此时前端通过 /api 代理访问后端接口，登录后自动携带 Bearer token。</w:t>
      </w:r>
    </w:p>
    <w:p w14:paraId="01CC4E64">
      <w:pPr>
        <w:spacing w:after="0"/>
        <w:rPr>
          <w:lang w:eastAsia="zh-CN"/>
        </w:rPr>
      </w:pPr>
      <w:r>
        <w:rPr>
          <w:rFonts w:ascii="Times New Roman" w:hAnsi="Times New Roman" w:eastAsia="Songti SC"/>
          <w:color w:val="000000"/>
          <w:lang w:eastAsia="zh-CN"/>
        </w:rPr>
        <w:t>后端在 Windows 环境下进入 backend/ 目录，执行 .\mvnw.cmd spring-boot:run -Dspring-boot.run.profiles=mock 启动 Mock 演示，或使用 dev/prod profile 连接 PostgreSQL。真实库连接信息通过 DB_URL、DB_USERNAME 与 DB_PASSWORD 配置；后端启动后，前端按照 API 契约定义的接口路径完成登录、查询和事务演示。</w:t>
      </w:r>
    </w:p>
    <w:p>
      <w:r>
        <w:t>数据库部署步骤为：执行 docker compose -f db/docker-compose.yml up -d 启动 PostgreSQL 16。已有 volume 升级执行 powershell -NoProfile -ExecutionPolicy Bypass -File db\scripts\migrate-db.ps1；破坏性重建必须显式执行 powershell -NoProfile -ExecutionPolicy Bypass -File db\scripts\reset-db.ps1 -Force。正式 SF=0.1 导入先设置 $env:DEFER_POST_COPY_ASSETS="true" 重建空 volume，再执行 db\scripts\load-tpch.ps1 -ScaleFactor 0.1 -FinalizeSchema -LoadBaselineIndexes。</w:t>
      </w:r>
    </w:p>
    <w:p w14:paraId="15E8141E">
      <w:pPr>
        <w:pStyle w:val="3"/>
        <w:spacing w:before="0" w:after="0"/>
        <w:ind w:firstLine="0"/>
        <w:rPr>
          <w:lang w:eastAsia="zh-CN"/>
        </w:rPr>
      </w:pPr>
      <w:bookmarkStart w:id="130" w:name="__RefHeading___Toc5933_2153205702"/>
      <w:bookmarkEnd w:id="130"/>
      <w:bookmarkStart w:id="131" w:name="_Toc234332106"/>
      <w:r>
        <w:rPr>
          <w:rFonts w:ascii="Times New Roman" w:hAnsi="Times New Roman" w:eastAsia="黑体"/>
          <w:color w:val="000000"/>
          <w:lang w:eastAsia="zh-CN"/>
        </w:rPr>
        <w:t>附录五 系统主要截图</w:t>
      </w:r>
      <w:bookmarkEnd w:id="13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dashboard_real_api_sf0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项目归档的主要截图包括 Docker/V13/COPY 环境检查、SF=0.1 行数统计、无索引与有索引执行计划、TPC-H/TPC-C 并发测试、登录、数据库总览、Q1/Q5/Q12/Q14 真实查询、New-Order、Payment、导入错误、数据导出和性能结果页面。截图统一保存在 report/screenshots，文件名包含日期、模块、动作和数据规模。</w:t>
      </w:r>
    </w:p>
    <w:p w14:paraId="6B0ACE17">
      <w:pPr>
        <w:spacing w:after="0"/>
        <w:rPr>
          <w:lang w:eastAsia="zh-CN"/>
        </w:rPr>
      </w:pPr>
      <w:r>
        <w:t>最终联调截图以 20260713_login_real_api_sf01.png、20260713_dashboard_real_api_sf01.png、20260713_tpch_q1_q5_q12_q14_real_api_sf01.png 和 20260713_performance_tpch_real_api_sf01.png 为核心，均运行在 VITE_USE_MOCK=false 的真实 API 模式；早期 11 张页面截图继续用于补充用户管理、导入导出和 TPC-C 页面证据。</w:t>
      </w:r>
    </w:p>
    <w:sectPr>
      <w:footerReference r:id="rId7" w:type="first"/>
      <w:footerReference r:id="rId5" w:type="default"/>
      <w:footerReference r:id="rId6" w:type="even"/>
      <w:pgSz w:w="12240" w:h="15840"/>
      <w:pgMar w:top="1417" w:right="1474" w:bottom="1417" w:left="1587" w:header="0" w:footer="72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Lohit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D14A6">
    <w:pPr>
      <w:pStyle w:val="2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D479B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5A775">
    <w:pPr>
      <w:pStyle w:val="2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400ABC"/>
    <w:multiLevelType w:val="multilevel"/>
    <w:tmpl w:val="32400ABC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4ADB6C20"/>
    <w:multiLevelType w:val="multilevel"/>
    <w:tmpl w:val="4ADB6C20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63051137"/>
    <w:multiLevelType w:val="multilevel"/>
    <w:tmpl w:val="63051137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6859724F"/>
    <w:multiLevelType w:val="multilevel"/>
    <w:tmpl w:val="6859724F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70332CD1"/>
    <w:multiLevelType w:val="multilevel"/>
    <w:tmpl w:val="70332CD1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76F140E7"/>
    <w:multiLevelType w:val="multilevel"/>
    <w:tmpl w:val="76F140E7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1"/>
  <w:bordersDoNotSurroundFooter w:val="1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7E2"/>
    <w:rsid w:val="009979EF"/>
    <w:rsid w:val="00CA51CB"/>
    <w:rsid w:val="00E177E2"/>
    <w:rsid w:val="00EC2DB7"/>
    <w:rsid w:val="0A21712D"/>
    <w:rsid w:val="3434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360" w:lineRule="auto"/>
      <w:ind w:firstLine="48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120" w:after="12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szCs w:val="26"/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120" w:after="12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8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25"/>
    <w:qFormat/>
    <w:uiPriority w:val="0"/>
    <w:pPr>
      <w:tabs>
        <w:tab w:val="right" w:leader="dot" w:pos="8612"/>
      </w:tabs>
      <w:ind w:left="567" w:firstLine="0"/>
    </w:pPr>
  </w:style>
  <w:style w:type="paragraph" w:customStyle="1" w:styleId="25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26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autoRedefine/>
    <w:unhideWhenUsed/>
    <w:qFormat/>
    <w:uiPriority w:val="39"/>
  </w:style>
  <w:style w:type="paragraph" w:styleId="29">
    <w:name w:val="index heading"/>
    <w:basedOn w:val="30"/>
    <w:qFormat/>
    <w:uiPriority w:val="0"/>
  </w:style>
  <w:style w:type="paragraph" w:customStyle="1" w:styleId="30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31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3">
    <w:name w:val="toc 2"/>
    <w:basedOn w:val="1"/>
    <w:next w:val="1"/>
    <w:autoRedefine/>
    <w:unhideWhenUsed/>
    <w:qFormat/>
    <w:uiPriority w:val="39"/>
    <w:pPr>
      <w:ind w:left="420"/>
    </w:pPr>
  </w:style>
  <w:style w:type="paragraph" w:styleId="34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9">
    <w:name w:val="Table Grid"/>
    <w:basedOn w:val="3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Light Shading"/>
    <w:basedOn w:val="38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38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38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3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38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38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38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38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38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3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38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38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3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38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38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38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38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38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38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38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38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38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38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38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38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38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3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38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38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38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38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38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38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38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38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9">
    <w:name w:val="Strong"/>
    <w:basedOn w:val="138"/>
    <w:qFormat/>
    <w:uiPriority w:val="22"/>
    <w:rPr>
      <w:b/>
      <w:bCs/>
    </w:rPr>
  </w:style>
  <w:style w:type="character" w:styleId="140">
    <w:name w:val="Emphasis"/>
    <w:basedOn w:val="138"/>
    <w:qFormat/>
    <w:uiPriority w:val="20"/>
    <w:rPr>
      <w:i/>
      <w:iCs/>
    </w:rPr>
  </w:style>
  <w:style w:type="character" w:styleId="141">
    <w:name w:val="Hyperlink"/>
    <w:basedOn w:val="13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2">
    <w:name w:val="页眉 字符"/>
    <w:basedOn w:val="138"/>
    <w:link w:val="27"/>
    <w:qFormat/>
    <w:uiPriority w:val="99"/>
  </w:style>
  <w:style w:type="character" w:customStyle="1" w:styleId="143">
    <w:name w:val="页脚 字符"/>
    <w:basedOn w:val="138"/>
    <w:link w:val="26"/>
    <w:qFormat/>
    <w:uiPriority w:val="99"/>
  </w:style>
  <w:style w:type="character" w:customStyle="1" w:styleId="144">
    <w:name w:val="标题 1 字符"/>
    <w:basedOn w:val="138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标题 2 字符"/>
    <w:basedOn w:val="138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标题 3 字符"/>
    <w:basedOn w:val="138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标题 字符"/>
    <w:basedOn w:val="138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8">
    <w:name w:val="副标题 字符"/>
    <w:basedOn w:val="138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9">
    <w:name w:val="正文文本 字符"/>
    <w:basedOn w:val="138"/>
    <w:link w:val="19"/>
    <w:qFormat/>
    <w:uiPriority w:val="99"/>
  </w:style>
  <w:style w:type="character" w:customStyle="1" w:styleId="150">
    <w:name w:val="正文文本 2 字符"/>
    <w:basedOn w:val="138"/>
    <w:link w:val="34"/>
    <w:qFormat/>
    <w:uiPriority w:val="99"/>
  </w:style>
  <w:style w:type="character" w:customStyle="1" w:styleId="151">
    <w:name w:val="正文文本 3 字符"/>
    <w:basedOn w:val="138"/>
    <w:link w:val="17"/>
    <w:qFormat/>
    <w:uiPriority w:val="99"/>
    <w:rPr>
      <w:sz w:val="16"/>
      <w:szCs w:val="16"/>
    </w:rPr>
  </w:style>
  <w:style w:type="character" w:customStyle="1" w:styleId="152">
    <w:name w:val="宏文本 字符"/>
    <w:basedOn w:val="138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3">
    <w:name w:val="引用 字符"/>
    <w:basedOn w:val="138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4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标题 4 字符"/>
    <w:basedOn w:val="138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标题 5 字符"/>
    <w:basedOn w:val="138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标题 6 字符"/>
    <w:basedOn w:val="13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标题 7 字符"/>
    <w:basedOn w:val="138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标题 8 字符"/>
    <w:basedOn w:val="138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标题 9 字符"/>
    <w:basedOn w:val="138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1">
    <w:name w:val="明显引用 字符"/>
    <w:basedOn w:val="138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2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8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8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8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8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8"/>
    <w:qFormat/>
    <w:uiPriority w:val="33"/>
    <w:rPr>
      <w:b/>
      <w:bCs/>
      <w:smallCaps/>
      <w:spacing w:val="5"/>
    </w:rPr>
  </w:style>
  <w:style w:type="character" w:customStyle="1" w:styleId="168">
    <w:name w:val="Index Link"/>
    <w:qFormat/>
    <w:uiPriority w:val="0"/>
  </w:style>
  <w:style w:type="paragraph" w:customStyle="1" w:styleId="169">
    <w:name w:val="Header and Footer"/>
    <w:basedOn w:val="1"/>
    <w:qFormat/>
    <w:uiPriority w:val="0"/>
  </w:style>
  <w:style w:type="paragraph" w:styleId="170">
    <w:name w:val="No Spacing"/>
    <w:qFormat/>
    <w:uiPriority w:val="1"/>
    <w:pPr>
      <w:suppressAutoHyphens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1">
    <w:name w:val="List Paragraph"/>
    <w:basedOn w:val="1"/>
    <w:qFormat/>
    <w:uiPriority w:val="34"/>
    <w:pPr>
      <w:ind w:left="720"/>
      <w:contextualSpacing/>
    </w:pPr>
  </w:style>
  <w:style w:type="paragraph" w:customStyle="1" w:styleId="172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11962</Words>
  <Characters>17192</Characters>
  <Lines>1406</Lines>
  <Paragraphs>1314</Paragraphs>
  <TotalTime>23</TotalTime>
  <ScaleCrop>false</ScaleCrop>
  <LinksUpToDate>false</LinksUpToDate>
  <CharactersWithSpaces>18190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2026-07-07T08:32:00Z</dcterms:created>
  <dc:creator>Floy</dc:creator>
  <cp:lastModifiedBy>曹伊凡</cp:lastModifiedBy>
  <dcterms:modified xsi:type="dcterms:W3CDTF">2026-07-13T19:00:00Z</dcterms:modified>
  <cp:revision>2</cp:revision>
  <dc:title>TPC CommerceInsight 课程设计报告（最终修订版）</dc:title>
  <dc:subject>数据库课程设计最终报告</dc:subject>
  <dc:description>已更新 V13、正式 COPY、SF=0.1、性能结果与最终联调证据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B72C9D97511A42C7A504031166AADAF5_13</vt:lpwstr>
  </property>
  <property fmtid="{D5CDD505-2E9C-101B-9397-08002B2CF9AE}" pid="4" name="KSOTemplateDocerSaveRecord">
    <vt:lpwstr>eyJoZGlkIjoiMjdkZTRiN2QyYWFkYTZlN2VkZTIwZGY4NjBhNzBlZjAiLCJ1c2VySWQiOiIxNzYzODQ5MDQ3In0=</vt:lpwstr>
  </property>
</Properties>
</file>