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</w:pPr>
      <w:r>
        <w:rPr>
          <w:rFonts w:ascii="Arial" w:hAnsi="Arial" w:eastAsia="等线"/>
          <w:b/>
          <w:color w:val="147D78"/>
          <w:sz w:val="18"/>
        </w:rPr>
        <w:t>ENGINEERING CHANGE NOTE</w:t>
      </w:r>
    </w:p>
    <w:p>
      <w:pPr>
        <w:spacing w:after="160"/>
      </w:pPr>
      <w:r>
        <w:rPr>
          <w:rFonts w:ascii="Arial" w:hAnsi="Arial" w:eastAsia="黑体"/>
          <w:b/>
          <w:color w:val="17324D"/>
          <w:sz w:val="56"/>
        </w:rPr>
        <w:t>TPC CommerceInsight</w:t>
      </w:r>
    </w:p>
    <w:p>
      <w:pPr>
        <w:spacing w:after="480"/>
      </w:pPr>
      <w:r>
        <w:rPr>
          <w:rFonts w:ascii="Arial" w:hAnsi="Arial" w:eastAsia="黑体"/>
          <w:b/>
          <w:color w:val="147D78"/>
          <w:sz w:val="38"/>
        </w:rPr>
        <w:t>本次修改说明</w:t>
      </w:r>
    </w:p>
    <w:p>
      <w:pPr>
        <w:spacing w:after="360"/>
        <w:pBdr>
          <w:bottom w:val="single" w:sz="18" w:color="147D78"/>
        </w:pBdr>
      </w:pPr>
    </w:p>
    <w:p>
      <w:pPr>
        <w:spacing w:after="80"/>
      </w:pPr>
      <w:r>
        <w:rPr>
          <w:rFonts w:ascii="Arial" w:hAnsi="Arial" w:eastAsia="等线"/>
          <w:b/>
          <w:color w:val="17324D"/>
          <w:sz w:val="21"/>
        </w:rPr>
        <w:t>远端分支：</w:t>
      </w:r>
      <w:r>
        <w:rPr>
          <w:rFonts w:ascii="Arial" w:hAnsi="Arial" w:eastAsia="等线"/>
          <w:color w:val="1F2933"/>
          <w:sz w:val="21"/>
        </w:rPr>
        <w:t>dev/d-devops-performance-report</w:t>
      </w:r>
    </w:p>
    <w:p>
      <w:pPr>
        <w:spacing w:after="80"/>
      </w:pPr>
      <w:r>
        <w:rPr>
          <w:rFonts w:ascii="Arial" w:hAnsi="Arial" w:eastAsia="等线"/>
          <w:b/>
          <w:color w:val="17324D"/>
          <w:sz w:val="21"/>
        </w:rPr>
        <w:t>当前提交：</w:t>
      </w:r>
      <w:r>
        <w:rPr>
          <w:rFonts w:ascii="Arial" w:hAnsi="Arial" w:eastAsia="等线"/>
          <w:color w:val="1F2933"/>
          <w:sz w:val="21"/>
        </w:rPr>
        <w:t>5409b89</w:t>
      </w:r>
    </w:p>
    <w:p>
      <w:pPr>
        <w:spacing w:after="80"/>
      </w:pPr>
      <w:r>
        <w:rPr>
          <w:rFonts w:ascii="Arial" w:hAnsi="Arial" w:eastAsia="等线"/>
          <w:b/>
          <w:color w:val="17324D"/>
          <w:sz w:val="21"/>
        </w:rPr>
        <w:t>主体修改提交：</w:t>
      </w:r>
      <w:r>
        <w:rPr>
          <w:rFonts w:ascii="Arial" w:hAnsi="Arial" w:eastAsia="等线"/>
          <w:color w:val="1F2933"/>
          <w:sz w:val="21"/>
        </w:rPr>
        <w:t>c5a8b2e</w:t>
      </w:r>
    </w:p>
    <w:p>
      <w:pPr>
        <w:spacing w:after="80"/>
      </w:pPr>
      <w:r>
        <w:rPr>
          <w:rFonts w:ascii="Arial" w:hAnsi="Arial" w:eastAsia="等线"/>
          <w:b/>
          <w:color w:val="17324D"/>
          <w:sz w:val="21"/>
        </w:rPr>
        <w:t>说明范围：</w:t>
      </w:r>
      <w:r>
        <w:rPr>
          <w:rFonts w:ascii="Arial" w:hAnsi="Arial" w:eastAsia="等线"/>
          <w:color w:val="1F2933"/>
          <w:sz w:val="21"/>
        </w:rPr>
        <w:t>数据库迁移、正式 COPY、性能测试、联调修复及证据归档</w:t>
      </w:r>
    </w:p>
    <w:p>
      <w:pPr>
        <w:spacing w:after="80"/>
      </w:pPr>
      <w:r>
        <w:rPr>
          <w:rFonts w:ascii="Arial" w:hAnsi="Arial" w:eastAsia="等线"/>
          <w:b/>
          <w:color w:val="17324D"/>
          <w:sz w:val="21"/>
        </w:rPr>
        <w:t>编制日期：</w:t>
      </w:r>
      <w:r>
        <w:rPr>
          <w:rFonts w:ascii="Arial" w:hAnsi="Arial" w:eastAsia="等线"/>
          <w:color w:val="1F2933"/>
          <w:sz w:val="21"/>
        </w:rPr>
        <w:t>2026 年 7 月 13 日</w:t>
      </w:r>
    </w:p>
    <w:p>
      <w:pPr>
        <w:spacing w:after="160"/>
      </w:pPr>
    </w:p>
    <w:p>
      <w:pPr>
        <w:spacing w:before="80" w:after="160" w:line="300" w:lineRule="auto"/>
        <w:ind w:left="142" w:right="142"/>
        <w:shd w:fill="E8F4F2"/>
        <w:pBdr>
          <w:left w:val="single" w:sz="18" w:space="8" w:color="147D78"/>
        </w:pBdr>
      </w:pPr>
      <w:r>
        <w:rPr>
          <w:rFonts w:ascii="Arial" w:hAnsi="Arial" w:eastAsia="等线"/>
          <w:b/>
          <w:color w:val="147D78"/>
          <w:sz w:val="21"/>
        </w:rPr>
        <w:t xml:space="preserve">文档定位  </w:t>
      </w:r>
      <w:r>
        <w:rPr>
          <w:rFonts w:ascii="Arial" w:hAnsi="Arial" w:eastAsia="等线"/>
          <w:color w:val="1F2933"/>
          <w:sz w:val="21"/>
        </w:rPr>
        <w:t>本文件是对本次实际代码和交付材料变更的说明，不是课程设计报告，也不描述尚未实施的修复方案。按要求，本文件仅在本地生成，不改变远端 5409b89。</w:t>
      </w:r>
    </w:p>
    <w:p>
      <w:r>
        <w:br w:type="page"/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1. 修改背景与范围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本次修改针对代码审查中提出的数据库初始化、旧 volume 升级、破坏性重置保护、性能测试入口拆分、性能字段契约和正式实验凭证等问题进行集中修复。修改保持 PostgreSQL、Spring Boot、Vue 3 和版本化 SQL 的既有架构，不另建第二套业务 SQL。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主体功能提交 c5a8b2e 共涉及 66 个文件，包含 4,473 行新增和 433 行删除；交付材料提交 5409b89 新增最终文档与证据，并修正环境检查提示文字。两次提交共同构成当前远端个人分支的最新版本。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  <w:tblHeader w:val="true"/>
          <w:cantSplit/>
        </w:trPr>
        <w:tc>
          <w:tcPr>
            <w:tcW w:type="dxa" w:w="15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提交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1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c5a8b2e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功能与实验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迁移、COPY、EXPLAIN、并发测试、联调和实验输出</w:t>
            </w:r>
          </w:p>
        </w:tc>
        <w:tc>
          <w:tcPr>
            <w:tcW w:type="dxa" w:w="1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功能闭环完成</w:t>
            </w:r>
          </w:p>
        </w:tc>
      </w:tr>
      <w:tr>
        <w:trPr>
          <w:cantSplit/>
        </w:trPr>
        <w:tc>
          <w:tcPr>
            <w:tcW w:type="dxa" w:w="153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5409b89</w:t>
            </w:r>
          </w:p>
        </w:tc>
        <w:tc>
          <w:tcPr>
            <w:tcW w:type="dxa" w:w="181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交付材料</w:t>
            </w:r>
          </w:p>
        </w:tc>
        <w:tc>
          <w:tcPr>
            <w:tcW w:type="dxa" w:w="3969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最终文档、环境日志、证据截图和提示文字</w:t>
            </w:r>
          </w:p>
        </w:tc>
        <w:tc>
          <w:tcPr>
            <w:tcW w:type="dxa" w:w="198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远端材料补齐</w:t>
            </w:r>
          </w:p>
        </w:tc>
      </w:tr>
    </w:tbl>
    <w:p>
      <w:pPr>
        <w:spacing w:after="20"/>
      </w:pPr>
    </w:p>
    <w:p>
      <w:pPr>
        <w:spacing w:before="80" w:after="160" w:line="300" w:lineRule="auto"/>
        <w:ind w:left="142" w:right="142"/>
        <w:shd w:fill="FFF4E5"/>
        <w:pBdr>
          <w:left w:val="single" w:sz="18" w:space="8" w:color="B54708"/>
        </w:pBdr>
      </w:pPr>
      <w:r>
        <w:rPr>
          <w:rFonts w:ascii="Arial" w:hAnsi="Arial" w:eastAsia="等线"/>
          <w:b/>
          <w:color w:val="B54708"/>
          <w:sz w:val="21"/>
        </w:rPr>
        <w:t xml:space="preserve">范围边界  </w:t>
      </w:r>
      <w:r>
        <w:rPr>
          <w:rFonts w:ascii="Arial" w:hAnsi="Arial" w:eastAsia="等线"/>
          <w:color w:val="1F2933"/>
          <w:sz w:val="21"/>
        </w:rPr>
        <w:t>本次说明以 c5a8b2e 和 5409b89 的实际差异为准。同步自 develop 的其他功能只作为集成基线，不重复认定为本轮主改成果。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2. 数据库工程修改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2.1 新 volume 初始化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Docker 初始化入口增加 V13 兼容迁移，并支持正式 COPY 时延后执行约束、触发器、存储过程和索引。新增 DEFER_POST_COPY_ASSETS 环境变量，避免先建外键和索引导致正式导入失败或性能下降。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V1 / V2 / V3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    -&gt; COPY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    -&gt; V4 / V8 / V9 / V13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    -&gt; V10（按需）</w:t>
      </w:r>
    </w:p>
    <w:p>
      <w:pPr>
        <w:spacing w:after="60"/>
      </w:pP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普通新库初始化仍可直接执行 V4、V8、V9、V10 和 V13。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正式 COPY 模式只先创建基础表，导入完成后再执行后置资产。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V11 样例数据继续由 LOAD_SAMPLE_DATA 控制，不与正式数据混用。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2.2 旧 volume 非破坏升级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新增 db/scripts/migrate-db.ps1。脚本保留现有 volume，执行 V13、重新应用 V8 触发器，并验证 change_type、旧字段清理和库存触发器状态。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不执行 docker compose down -v。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迁移过程生成 UTF-8 日志。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字段兼容由 change_reason 统一迁移为 change_type。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触发器继续以 stock_change_log.change_type 为正式口径。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2.3 重置、导入和统计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reset-db.ps1 新增 -Force 显式确认。未传入时打印风险、退出码为 2，且不会停止容器或删除 volume。load-tpch.ps1 增加 FinalizeSchema 和 LoadBaselineIndexes 参数，用于在 COPY 后恢复完整模式。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powershell -NoProfile -ExecutionPolicy Bypass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-File db\scripts\reset-db.ps1 -Force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powershell -NoProfile -ExecutionPolicy Bypass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-File db\scripts\load-tpch.ps1 `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-ScaleFactor 0.1 -DataDir &lt;数据目录&gt; -FileExtension tbl -FinalizeSchema</w:t>
      </w:r>
    </w:p>
    <w:p>
      <w:pPr>
        <w:spacing w:after="60"/>
      </w:pP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generate-tpch.ps1、count-tables.ps1 和日志编码同步增强。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run-tpch-explain.ps1 支持 q1/q5/q12/q14/all 和 with_index/without_index。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3. 性能测试修改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3.1 独立验收入口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原通用性能脚本之外新增两个独立验收入口，并将并发请求、统计、登录、归档和接口写入逻辑抽取到共享模块。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cantSplit/>
          <w:tblHeader w:val="true"/>
          <w:cantSplit/>
        </w:trPr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主要参数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test/tpch_concurrent_test.py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Q1/Q5/Q12/Q14 HTTP 并发查询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query、threads、requests、token、timeout、scale-factor</w:t>
            </w:r>
          </w:p>
        </w:tc>
      </w:tr>
      <w:tr>
        <w:trPr>
          <w:cantSplit/>
        </w:trPr>
        <w:tc>
          <w:tcPr>
            <w:tcW w:type="dxa" w:w="28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test/tpcc_concurrent_test.py</w:t>
            </w:r>
          </w:p>
        </w:tc>
        <w:tc>
          <w:tcPr>
            <w:tcW w:type="dxa" w:w="323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New-Order/Payment HTTP 并发事务</w:t>
            </w:r>
          </w:p>
        </w:tc>
        <w:tc>
          <w:tcPr>
            <w:tcW w:type="dxa" w:w="3402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transaction、JSON 请求体、threads、requests、token、timeout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test/performance_common.py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并发、指标、CSV/JSON、登录与结果入库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统一公共逻辑</w:t>
            </w:r>
          </w:p>
        </w:tc>
      </w:tr>
      <w:tr>
        <w:trPr>
          <w:cantSplit/>
        </w:trPr>
        <w:tc>
          <w:tcPr>
            <w:tcW w:type="dxa" w:w="28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test/test_performance_common.py</w:t>
            </w:r>
          </w:p>
        </w:tc>
        <w:tc>
          <w:tcPr>
            <w:tcW w:type="dxa" w:w="323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公共逻辑回归</w:t>
            </w:r>
          </w:p>
        </w:tc>
        <w:tc>
          <w:tcPr>
            <w:tcW w:type="dxa" w:w="3402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字段、文件和请求体验证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3.2 字段契约和结果归档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性能摘要改用后端正式字段 successCount 和 failCount；TPC-H 使用 testType=tpch，TPC-C 使用 testType=tpcc。每项测试输出 summary JSON、summary CSV、samples CSV，并调用 POST /api/performance/results。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{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"testType": "tpch",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"threadCount": 4,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"totalRequests": 20,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"successCount": 20,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"failCount": 0,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"avgLatencyMs": 184.648,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 "throughput": 19.805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}</w:t>
      </w:r>
    </w:p>
    <w:p>
      <w:pPr>
        <w:spacing w:after="60"/>
      </w:pP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归档指标包含平均、P95、最大、最小延迟和 QPS/TPS。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接口成功响应完整保存，脚本输出结果 ID或响应内容。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请求失败或接口写入失败时返回非零退出码。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4. 正式实验结果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4.1 SF=0.1 数据导入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本轮使用 dbgen 2.17.2 生成 SF=0.1 数据，并通过 COPY 完成八张 TPC-H 表导入。总计 866,602 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表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表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行数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region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nation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supplier</w:t>
            </w:r>
          </w:p>
        </w:tc>
        <w:tc>
          <w:tcPr>
            <w:tcW w:type="dxa" w:w="175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1,000</w:t>
            </w:r>
          </w:p>
        </w:tc>
        <w:tc>
          <w:tcPr>
            <w:tcW w:type="dxa" w:w="226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customer</w:t>
            </w:r>
          </w:p>
        </w:tc>
        <w:tc>
          <w:tcPr>
            <w:tcW w:type="dxa" w:w="215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15,000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part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20,000</w:t>
            </w:r>
          </w:p>
        </w:tc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partsupp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80,000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orders</w:t>
            </w:r>
          </w:p>
        </w:tc>
        <w:tc>
          <w:tcPr>
            <w:tcW w:type="dxa" w:w="175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150,000</w:t>
            </w:r>
          </w:p>
        </w:tc>
        <w:tc>
          <w:tcPr>
            <w:tcW w:type="dxa" w:w="226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lineitem</w:t>
            </w:r>
          </w:p>
        </w:tc>
        <w:tc>
          <w:tcPr>
            <w:tcW w:type="dxa" w:w="215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600,572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4.2 TPC-H/TPC-C 并发结果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/>
          <w:tblHeader w:val="true"/>
          <w:cantSplit/>
        </w:trPr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线程/请求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成功/失败</w:t>
            </w:r>
          </w:p>
        </w:tc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平均延迟 ms</w:t>
            </w:r>
          </w:p>
        </w:tc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QPS/TPS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TPC-H Q1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 / 20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20 / 0</w:t>
            </w:r>
          </w:p>
        </w:tc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184.648</w:t>
            </w:r>
          </w:p>
        </w:tc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19.805 QPS</w:t>
            </w:r>
          </w:p>
        </w:tc>
      </w:tr>
      <w:tr>
        <w:trPr>
          <w:cantSplit/>
        </w:trPr>
        <w:tc>
          <w:tcPr>
            <w:tcW w:type="dxa" w:w="232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TPC-H Q5</w:t>
            </w:r>
          </w:p>
        </w:tc>
        <w:tc>
          <w:tcPr>
            <w:tcW w:type="dxa" w:w="175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 / 20</w:t>
            </w:r>
          </w:p>
        </w:tc>
        <w:tc>
          <w:tcPr>
            <w:tcW w:type="dxa" w:w="181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20 / 0</w:t>
            </w:r>
          </w:p>
        </w:tc>
        <w:tc>
          <w:tcPr>
            <w:tcW w:type="dxa" w:w="192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37.891</w:t>
            </w:r>
          </w:p>
        </w:tc>
        <w:tc>
          <w:tcPr>
            <w:tcW w:type="dxa" w:w="192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95.976 QPS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TPC-H Q12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 / 20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20 / 0</w:t>
            </w:r>
          </w:p>
        </w:tc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29.319</w:t>
            </w:r>
          </w:p>
        </w:tc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127.483 QPS</w:t>
            </w:r>
          </w:p>
        </w:tc>
      </w:tr>
      <w:tr>
        <w:trPr>
          <w:cantSplit/>
        </w:trPr>
        <w:tc>
          <w:tcPr>
            <w:tcW w:type="dxa" w:w="232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TPC-H Q14</w:t>
            </w:r>
          </w:p>
        </w:tc>
        <w:tc>
          <w:tcPr>
            <w:tcW w:type="dxa" w:w="175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 / 20</w:t>
            </w:r>
          </w:p>
        </w:tc>
        <w:tc>
          <w:tcPr>
            <w:tcW w:type="dxa" w:w="181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20 / 0</w:t>
            </w:r>
          </w:p>
        </w:tc>
        <w:tc>
          <w:tcPr>
            <w:tcW w:type="dxa" w:w="192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19.017</w:t>
            </w:r>
          </w:p>
        </w:tc>
        <w:tc>
          <w:tcPr>
            <w:tcW w:type="dxa" w:w="192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191.746 QPS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TPC-C New-Order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 / 20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20 / 0</w:t>
            </w:r>
          </w:p>
        </w:tc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52.562</w:t>
            </w:r>
          </w:p>
        </w:tc>
        <w:tc>
          <w:tcPr>
            <w:tcW w:type="dxa" w:w="1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71.755 TPS</w:t>
            </w:r>
          </w:p>
        </w:tc>
      </w:tr>
      <w:tr>
        <w:trPr>
          <w:cantSplit/>
        </w:trPr>
        <w:tc>
          <w:tcPr>
            <w:tcW w:type="dxa" w:w="232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TPC-C Payment</w:t>
            </w:r>
          </w:p>
        </w:tc>
        <w:tc>
          <w:tcPr>
            <w:tcW w:type="dxa" w:w="175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 / 20</w:t>
            </w:r>
          </w:p>
        </w:tc>
        <w:tc>
          <w:tcPr>
            <w:tcW w:type="dxa" w:w="181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20 / 0</w:t>
            </w:r>
          </w:p>
        </w:tc>
        <w:tc>
          <w:tcPr>
            <w:tcW w:type="dxa" w:w="192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34.357</w:t>
            </w:r>
          </w:p>
        </w:tc>
        <w:tc>
          <w:tcPr>
            <w:tcW w:type="dxa" w:w="192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107.451 TPS</w:t>
            </w:r>
          </w:p>
        </w:tc>
      </w:tr>
    </w:tbl>
    <w:p>
      <w:pPr>
        <w:spacing w:after="20"/>
      </w:pP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六组共 120 次请求全部成功，六组结果均成功写入性能结果接口，并保存 JSON/CSV 与写入响应。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4.3 索引前后 EXPLAIN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  <w:tblHeader w:val="true"/>
          <w:cantSplit/>
        </w:trPr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查询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无索引 ms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有索引 ms</w:t>
            </w:r>
          </w:p>
        </w:tc>
        <w:tc>
          <w:tcPr>
            <w:tcW w:type="dxa" w:w="45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本轮观察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Q1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125.949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133.089</w:t>
            </w:r>
          </w:p>
        </w:tc>
        <w:tc>
          <w:tcPr>
            <w:tcW w:type="dxa" w:w="45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大范围扫描和聚合占主导，索引未带来收益</w:t>
            </w:r>
          </w:p>
        </w:tc>
      </w:tr>
      <w:tr>
        <w:trPr>
          <w:cantSplit/>
        </w:trPr>
        <w:tc>
          <w:tcPr>
            <w:tcW w:type="dxa" w:w="130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Q5</w:t>
            </w:r>
          </w:p>
        </w:tc>
        <w:tc>
          <w:tcPr>
            <w:tcW w:type="dxa" w:w="175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32.032</w:t>
            </w:r>
          </w:p>
        </w:tc>
        <w:tc>
          <w:tcPr>
            <w:tcW w:type="dxa" w:w="175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26.486</w:t>
            </w:r>
          </w:p>
        </w:tc>
        <w:tc>
          <w:tcPr>
            <w:tcW w:type="dxa" w:w="45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日期及连接相关索引降低部分成本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Q12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48.823</w:t>
            </w:r>
          </w:p>
        </w:tc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32.338</w:t>
            </w:r>
          </w:p>
        </w:tc>
        <w:tc>
          <w:tcPr>
            <w:tcW w:type="dxa" w:w="45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shipmode/receiptdate 组合索引改善过滤</w:t>
            </w:r>
          </w:p>
        </w:tc>
      </w:tr>
      <w:tr>
        <w:trPr>
          <w:cantSplit/>
        </w:trPr>
        <w:tc>
          <w:tcPr>
            <w:tcW w:type="dxa" w:w="130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Q14</w:t>
            </w:r>
          </w:p>
        </w:tc>
        <w:tc>
          <w:tcPr>
            <w:tcW w:type="dxa" w:w="175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23.883</w:t>
            </w:r>
          </w:p>
        </w:tc>
        <w:tc>
          <w:tcPr>
            <w:tcW w:type="dxa" w:w="1757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16.017</w:t>
            </w:r>
          </w:p>
        </w:tc>
        <w:tc>
          <w:tcPr>
            <w:tcW w:type="dxa" w:w="45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shipdate 索引降低月份过滤成本</w:t>
            </w:r>
          </w:p>
        </w:tc>
      </w:tr>
    </w:tbl>
    <w:p>
      <w:pPr>
        <w:spacing w:after="20"/>
      </w:pPr>
    </w:p>
    <w:p>
      <w:pPr>
        <w:spacing w:before="80" w:after="160" w:line="300" w:lineRule="auto"/>
        <w:ind w:left="142" w:right="142"/>
        <w:shd w:fill="FFF4E5"/>
        <w:pBdr>
          <w:left w:val="single" w:sz="18" w:space="8" w:color="B54708"/>
        </w:pBdr>
      </w:pPr>
      <w:r>
        <w:rPr>
          <w:rFonts w:ascii="Arial" w:hAnsi="Arial" w:eastAsia="等线"/>
          <w:b/>
          <w:color w:val="B54708"/>
          <w:sz w:val="21"/>
        </w:rPr>
        <w:t xml:space="preserve">说明  </w:t>
      </w:r>
      <w:r>
        <w:rPr>
          <w:rFonts w:ascii="Arial" w:hAnsi="Arial" w:eastAsia="等线"/>
          <w:color w:val="1F2933"/>
          <w:sz w:val="21"/>
        </w:rPr>
        <w:t>以上为 SF=0.1 实测结果，只用于本轮链路和性能证据，不代表 SF=0.6 或 SF=1 的结论。</w:t>
      </w:r>
    </w:p>
    <w:p>
      <w:pPr>
        <w:pStyle w:val="Heading1"/>
        <w:keepNext/>
        <w:pageBreakBefore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5. 联调与界面修复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5.1 真实 TPC-H 参数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TPC-H 页面默认日期从 2020 年调整为标准 dbgen 数据可命中的 1994/1995/1998 参数，避免真实 API 查询返回空结果。Q5 默认区域改为 ASIA。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Q1：1998-09-02。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Q5：ASIA，1994-01-01 至 1995-01-01。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Q12：MAIL/SHIP，1994-01-01 至 1995-01-01。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Q14：1995-09-01。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5.2 Dashboard 与展示文字</w:t>
      </w: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Dashboard 增加真实接口异常处理，401 交由统一鉴权流程处理，其他异常写入控制台。数据规模提示改为“当前数据库实时统计”，后端 TPC-H 说明也移除职责字母表述。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避免旧 Mock token 切换真实 API 时出现未捕获异常。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页面说明改为面向运行状态，不暴露团队内部分工代号。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5.3 联调结果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cantSplit/>
          <w:tblHeader w:val="true"/>
          <w:cantSplit/>
        </w:trPr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Docker PostgreSQL 16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4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容器健康，数据库连接正常</w:t>
            </w:r>
          </w:p>
        </w:tc>
      </w:tr>
      <w:tr>
        <w:trPr>
          <w:cantSplit/>
        </w:trPr>
        <w:tc>
          <w:tcPr>
            <w:tcW w:type="dxa" w:w="28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后端普通测试</w:t>
            </w:r>
          </w:p>
        </w:tc>
        <w:tc>
          <w:tcPr>
            <w:tcW w:type="dxa" w:w="147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4592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40 项通过，真实库用例按设计跳过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真实库集成测试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4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 项通过，0 跳过</w:t>
            </w:r>
          </w:p>
        </w:tc>
      </w:tr>
      <w:tr>
        <w:trPr>
          <w:cantSplit/>
        </w:trPr>
        <w:tc>
          <w:tcPr>
            <w:tcW w:type="dxa" w:w="28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Python 公共逻辑测试</w:t>
            </w:r>
          </w:p>
        </w:tc>
        <w:tc>
          <w:tcPr>
            <w:tcW w:type="dxa" w:w="147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4592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4 项通过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前端生产构建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4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Vite 构建成功</w:t>
            </w:r>
          </w:p>
        </w:tc>
      </w:tr>
      <w:tr>
        <w:trPr>
          <w:cantSplit/>
        </w:trPr>
        <w:tc>
          <w:tcPr>
            <w:tcW w:type="dxa" w:w="2835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HTTP 全量冒烟</w:t>
            </w:r>
          </w:p>
        </w:tc>
        <w:tc>
          <w:tcPr>
            <w:tcW w:type="dxa" w:w="1474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4592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19 项通过，0 失败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真实浏览器联调</w:t>
            </w:r>
          </w:p>
        </w:tc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通过</w:t>
            </w:r>
          </w:p>
        </w:tc>
        <w:tc>
          <w:tcPr>
            <w:tcW w:type="dxa" w:w="4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登录、Dashboard、TPC-H 与性能页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6. 交付材料与文件影响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6.1 主要代码文件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cantSplit/>
          <w:tblHeader w:val="true"/>
          <w:cantSplit/>
        </w:trP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主要文件</w:t>
            </w:r>
          </w:p>
        </w:tc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24D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/>
                <w:color w:val="FFFFFF"/>
                <w:sz w:val="18"/>
              </w:rPr>
              <w:t>修改性质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Docker/初始化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db/docker-compose.yml；db/init/00_run_sql_assets.sh</w:t>
            </w:r>
          </w:p>
        </w:tc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支持后置资产延迟与 V13</w:t>
            </w:r>
          </w:p>
        </w:tc>
      </w:tr>
      <w:tr>
        <w:trPr>
          <w:cantSplit/>
        </w:trPr>
        <w:tc>
          <w:tcPr>
            <w:tcW w:type="dxa" w:w="187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数据库脚本</w:t>
            </w:r>
          </w:p>
        </w:tc>
        <w:tc>
          <w:tcPr>
            <w:tcW w:type="dxa" w:w="4989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migrate-db.ps1；reset-db.ps1；load-tpch.ps1；run-tpch-explain.ps1</w:t>
            </w:r>
          </w:p>
        </w:tc>
        <w:tc>
          <w:tcPr>
            <w:tcW w:type="dxa" w:w="260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新增升级、保护、导入和计划入口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性能测试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performance_common.py；tpch_concurrent_test.py；tpcc_concurrent_test.py</w:t>
            </w:r>
          </w:p>
        </w:tc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独立验收、归档和接口写入</w:t>
            </w:r>
          </w:p>
        </w:tc>
      </w:tr>
      <w:tr>
        <w:trPr>
          <w:cantSplit/>
        </w:trPr>
        <w:tc>
          <w:tcPr>
            <w:tcW w:type="dxa" w:w="187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后端</w:t>
            </w:r>
          </w:p>
        </w:tc>
        <w:tc>
          <w:tcPr>
            <w:tcW w:type="dxa" w:w="4989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MyBatisTpchService.java</w:t>
            </w:r>
          </w:p>
        </w:tc>
        <w:tc>
          <w:tcPr>
            <w:tcW w:type="dxa" w:w="260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中性化运行说明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前端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DashboardView.vue；TpchView.vue</w:t>
            </w:r>
          </w:p>
        </w:tc>
        <w:tc>
          <w:tcPr>
            <w:tcW w:type="dxa" w:w="26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异常处理、真实数据参数和文字修正</w:t>
            </w:r>
          </w:p>
        </w:tc>
      </w:tr>
      <w:tr>
        <w:trPr>
          <w:cantSplit/>
        </w:trPr>
        <w:tc>
          <w:tcPr>
            <w:tcW w:type="dxa" w:w="1871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文档与证据</w:t>
            </w:r>
          </w:p>
        </w:tc>
        <w:tc>
          <w:tcPr>
            <w:tcW w:type="dxa" w:w="4989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docs/docs-D；report/import_logs；report/explain_plans；report/performance</w:t>
            </w:r>
          </w:p>
        </w:tc>
        <w:tc>
          <w:tcPr>
            <w:tcW w:type="dxa" w:w="2608"/>
            <w:shd w:fill="F3F5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等线"/>
                <w:b w:val="0"/>
                <w:color w:val="1F2933"/>
                <w:sz w:val="18"/>
              </w:rPr>
              <w:t>运行说明和实测结果归档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6.2 5409b89 新增交付物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课程设计报告最终修订版。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代码审查修复报告。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交付标准问题修复方案。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最终环境检查日志。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Docker/V13/COPY、SF=0.1 行数和 Q12/Q14 执行计划证据图。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verify-environment.ps1 中去除职责代号的提示文字。</w:t>
      </w:r>
    </w:p>
    <w:p>
      <w:pPr>
        <w:spacing w:before="80" w:after="160" w:line="300" w:lineRule="auto"/>
        <w:ind w:left="142" w:right="142"/>
        <w:shd w:fill="EAF7F0"/>
        <w:pBdr>
          <w:left w:val="single" w:sz="18" w:space="8" w:color="16794A"/>
        </w:pBdr>
      </w:pPr>
      <w:r>
        <w:rPr>
          <w:rFonts w:ascii="Arial" w:hAnsi="Arial" w:eastAsia="等线"/>
          <w:b/>
          <w:color w:val="16794A"/>
          <w:sz w:val="21"/>
        </w:rPr>
        <w:t xml:space="preserve">版本状态  </w:t>
      </w:r>
      <w:r>
        <w:rPr>
          <w:rFonts w:ascii="Arial" w:hAnsi="Arial" w:eastAsia="等线"/>
          <w:color w:val="1F2933"/>
          <w:sz w:val="21"/>
        </w:rPr>
        <w:t>远端个人分支当前固定在 5409b89。本次修改说明文档为用户后续索取的本地文件，不包含在该提交中。</w:t>
      </w:r>
    </w:p>
    <w:p>
      <w:pPr>
        <w:pStyle w:val="Heading1"/>
        <w:keepNext/>
        <w:pageBreakBefore w:val="0"/>
        <w:spacing w:before="280" w:after="100"/>
      </w:pPr>
      <w:r>
        <w:rPr>
          <w:rFonts w:ascii="Arial" w:hAnsi="Arial" w:eastAsia="黑体"/>
          <w:b/>
          <w:color w:val="17324D"/>
          <w:sz w:val="32"/>
        </w:rPr>
        <w:t>7. 兼容性、限制与使用注意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7.1 兼容性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新 volume 自动执行 V13；旧 volume 必须运行 migrate-db.ps1。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正式 COPY 使用 DEFER_POST_COPY_ASSETS=true，并在导入后执行 FinalizeSchema。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性能接口正式字段为 successCount/failCount。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跨设备连接本机 Docker 时使用 localhost；连接其他设备时改为目标设备地址。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7.2 当前未包含的工作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尚未执行 SF=0.6/SF=1 正式性能实验。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尚未增加可重复执行的 Playwright 浏览器自动化。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尚未补充 TPC-C 内部 SQL 明细计时和 TPC-C EXPLAIN。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尚未实现数据库配置管理、完整客户选项和业务查询结果导出增强。</w:t>
      </w:r>
    </w:p>
    <w:p>
      <w:pPr>
        <w:pStyle w:val="ListBullet"/>
        <w:spacing w:after="60" w:line="300" w:lineRule="auto"/>
        <w:ind w:left="425" w:hanging="198"/>
      </w:pPr>
      <w:r>
        <w:rPr>
          <w:rFonts w:ascii="Arial" w:hAnsi="Arial" w:eastAsia="等线"/>
          <w:color w:val="1F2933"/>
          <w:sz w:val="21"/>
        </w:rPr>
        <w:t>db/init/00_run_sql_assets.sh 的 Git 可执行位仍需在后续提交中登记为 100755。</w:t>
      </w:r>
    </w:p>
    <w:p>
      <w:pPr>
        <w:pStyle w:val="Heading2"/>
        <w:keepNext/>
        <w:pageBreakBefore w:val="0"/>
        <w:spacing w:before="180" w:after="100"/>
      </w:pPr>
      <w:r>
        <w:rPr>
          <w:rFonts w:ascii="Arial" w:hAnsi="Arial" w:eastAsia="黑体"/>
          <w:b/>
          <w:color w:val="147D78"/>
          <w:sz w:val="25"/>
        </w:rPr>
        <w:t>7.3 运行注意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# 后端必须使用真实数据库 profile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SPRING_PROFILES_ACTIVE=dev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 xml:space="preserve"> 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# 前端必须显式关闭 Mock</w:t>
      </w:r>
    </w:p>
    <w:p>
      <w:pPr>
        <w:spacing w:before="0" w:after="0" w:line="252" w:lineRule="auto"/>
        <w:ind w:left="283" w:right="283"/>
        <w:shd w:fill="F6F8FA"/>
      </w:pPr>
      <w:r>
        <w:rPr>
          <w:rFonts w:ascii="Arial" w:hAnsi="Arial" w:eastAsia="Consolas"/>
          <w:color w:val="243447"/>
          <w:sz w:val="16"/>
        </w:rPr>
        <w:t>$env:VITE_USE_MOCK="false"</w:t>
      </w:r>
    </w:p>
    <w:p>
      <w:pPr>
        <w:spacing w:after="60"/>
      </w:pPr>
    </w:p>
    <w:p>
      <w:pPr>
        <w:spacing w:line="348" w:lineRule="auto" w:after="100"/>
        <w:ind w:firstLine="420"/>
        <w:jc w:val="both"/>
      </w:pPr>
      <w:r>
        <w:rPr>
          <w:rFonts w:ascii="Arial" w:hAnsi="Arial" w:eastAsia="等线"/>
          <w:color w:val="1F2933"/>
          <w:sz w:val="21"/>
        </w:rPr>
        <w:t>如果未设置 VITE_USE_MOCK=false，页面仍会使用 Mock 数据，不应把该结果作为正式联调或性能证据。</w:t>
      </w:r>
    </w:p>
    <w:p>
      <w:pPr>
        <w:spacing w:before="80" w:after="160" w:line="300" w:lineRule="auto"/>
        <w:ind w:left="142" w:right="142"/>
        <w:shd w:fill="EAF7F0"/>
        <w:pBdr>
          <w:left w:val="single" w:sz="18" w:space="8" w:color="16794A"/>
        </w:pBdr>
      </w:pPr>
      <w:r>
        <w:rPr>
          <w:rFonts w:ascii="Arial" w:hAnsi="Arial" w:eastAsia="等线"/>
          <w:b/>
          <w:color w:val="16794A"/>
          <w:sz w:val="21"/>
        </w:rPr>
        <w:t xml:space="preserve">本次修改结论  </w:t>
      </w:r>
      <w:r>
        <w:rPr>
          <w:rFonts w:ascii="Arial" w:hAnsi="Arial" w:eastAsia="等线"/>
          <w:color w:val="1F2933"/>
          <w:sz w:val="21"/>
        </w:rPr>
        <w:t>当前版本已经完成旧库迁移、正式 COPY、TPC-H/TPC-C 独立压测、结果入库、SF=0.1 实验和真实 API 联调，并形成可追溯的日志、CSV、JSON 与截图。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32" w:bottom="1134" w:left="133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等线"/>
        <w:color w:val="667085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等线"/>
        <w:b/>
        <w:color w:val="667085"/>
        <w:sz w:val="17"/>
      </w:rPr>
      <w:t>TPC CommerceInsight  |  本次修改说明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TPC CommerceInsight 本次修改说明</dc:title>
  <dc:subject>c5a8b2e 与 5409b89 实际代码及交付材料变更说明</dc:subject>
  <dc:creator>TPC CommerceInsight 项目组</dc:creator>
  <cp:keywords>修改说明,PostgreSQL,TPC-H,TPC-C,Docker,性能测试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