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5.png" ContentType="image/png"/>
  <Override PartName="/word/media/rId31.png" ContentType="image/png"/>
  <Override PartName="/word/media/rId47.png" ContentType="image/png"/>
  <Override PartName="/word/media/rId60.png" ContentType="image/png"/>
  <Override PartName="/word/media/rId27.png" ContentType="image/png"/>
  <Override PartName="/word/media/rId54.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Chemistry</w:t>
      </w:r>
      <w:r>
        <w:t xml:space="preserve"> </w:t>
      </w:r>
      <w:r>
        <w:t xml:space="preserve">Statistics</w:t>
      </w:r>
    </w:p>
    <w:p>
      <w:pPr>
        <w:pStyle w:val="Author"/>
      </w:pPr>
      <w:r>
        <w:t xml:space="preserve">Lee</w:t>
      </w:r>
      <w:r>
        <w:t xml:space="preserve"> </w:t>
      </w:r>
      <w:r>
        <w:t xml:space="preserve">Kennedy</w:t>
      </w:r>
    </w:p>
    <w:p>
      <w:pPr>
        <w:pStyle w:val="Date"/>
      </w:pPr>
      <w:r>
        <w:t xml:space="preserve">20</w:t>
      </w:r>
      <w:r>
        <w:t xml:space="preserve"> </w:t>
      </w:r>
      <w:r>
        <w:t xml:space="preserve">April</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
      <w:bookmarkEnd w:id="21"/>
      <w:r>
        <w:t xml:space="preserve">Introduction</w:t>
      </w:r>
    </w:p>
    <w:p>
      <w:pPr>
        <w:pStyle w:val="Compact"/>
        <w:numPr>
          <w:numId w:val="1001"/>
          <w:ilvl w:val="0"/>
        </w:numPr>
      </w:pPr>
      <w:r>
        <w:t xml:space="preserve">There is nothing here to scare you.</w:t>
      </w:r>
    </w:p>
    <w:p>
      <w:pPr>
        <w:pStyle w:val="Compact"/>
        <w:numPr>
          <w:numId w:val="1001"/>
          <w:ilvl w:val="0"/>
        </w:numPr>
      </w:pPr>
      <w:r>
        <w:t xml:space="preserve">Statistics are only a way of describing the properties of data.</w:t>
      </w:r>
    </w:p>
    <w:p>
      <w:pPr>
        <w:pStyle w:val="Heading2"/>
      </w:pPr>
      <w:bookmarkStart w:id="22" w:name="assumptions"/>
      <w:bookmarkEnd w:id="22"/>
      <w:r>
        <w:t xml:space="preserve">Assumptions</w:t>
      </w:r>
    </w:p>
    <w:p>
      <w:pPr>
        <w:pStyle w:val="Compact"/>
        <w:numPr>
          <w:numId w:val="1002"/>
          <w:ilvl w:val="0"/>
        </w:numPr>
      </w:pPr>
      <w:r>
        <w:t xml:space="preserve">The data is normally distributed.</w:t>
      </w:r>
    </w:p>
    <w:p>
      <w:pPr>
        <w:pStyle w:val="Compact"/>
        <w:numPr>
          <w:numId w:val="1002"/>
          <w:ilvl w:val="0"/>
        </w:numPr>
      </w:pPr>
      <w:r>
        <w:t xml:space="preserve">Never assume. Check.</w:t>
      </w:r>
    </w:p>
    <w:p>
      <w:pPr>
        <w:pStyle w:val="Heading1"/>
      </w:pPr>
      <w:bookmarkStart w:id="23" w:name="basic-statistical-methods-and-ideas"/>
      <w:bookmarkEnd w:id="23"/>
      <w:r>
        <w:t xml:space="preserve">Basic Statistical Methods and Ideas</w:t>
      </w:r>
    </w:p>
    <w:p>
      <w:pPr>
        <w:pStyle w:val="Heading2"/>
      </w:pPr>
      <w:bookmarkStart w:id="24" w:name="data"/>
      <w:bookmarkEnd w:id="24"/>
      <w:r>
        <w:t xml:space="preserve">Data</w:t>
      </w:r>
    </w:p>
    <w:p>
      <w:pPr>
        <w:pStyle w:val="FirstParagraph"/>
      </w:pPr>
      <w:r>
        <w:t xml:space="preserve">Most collections of data follow a Gaussian distribution. Commonly known as a ‘Bell’ curve or a ‘’Normal’ curve.</w:t>
      </w:r>
    </w:p>
    <w:p>
      <w:pPr>
        <w:pStyle w:val="BodyText"/>
      </w:pPr>
      <w:r>
        <w:t xml:space="preserve">Some data, notably microbiological data, does not follow the Gaussian distribution. In order to make it do so, you must transform the data by techniques such using logarithms.</w:t>
      </w:r>
    </w:p>
    <w:p>
      <w:pPr>
        <w:pStyle w:val="Heading2"/>
      </w:pPr>
      <w:bookmarkStart w:id="25" w:name="descriptive-statistics"/>
      <w:bookmarkEnd w:id="25"/>
      <w:r>
        <w:t xml:space="preserve">Descriptive Statistics</w:t>
      </w:r>
    </w:p>
    <w:p>
      <w:pPr>
        <w:pStyle w:val="FirstParagraph"/>
      </w:pPr>
      <w:r>
        <w:t xml:space="preserve">Using Excel’s descriptive statistics function you can get an indication of a dataset’s ‘normality’.</w:t>
      </w:r>
      <w:r>
        <w:t xml:space="preserve"> </w:t>
      </w:r>
      <w:r>
        <w:t xml:space="preserve">Similarly, in R, you can do a summary in base R or use "describe" in the Psych package.</w:t>
      </w:r>
      <w:r>
        <w:t xml:space="preserve"> </w:t>
      </w:r>
      <w:r>
        <w:t xml:space="preserve">A quick check for normality may be just comparing the mean and median. They should be relatively close.</w:t>
      </w:r>
    </w:p>
    <w:p>
      <w:pPr>
        <w:pStyle w:val="SourceCode"/>
      </w:pPr>
      <w:r>
        <w:rPr>
          <w:rStyle w:val="KeywordTok"/>
        </w:rPr>
        <w:t xml:space="preserve">summary</w:t>
      </w:r>
      <w:r>
        <w:rPr>
          <w:rStyle w:val="NormalTok"/>
        </w:rPr>
        <w:t xml:space="preserve">(data.in)</w:t>
      </w:r>
    </w:p>
    <w:p>
      <w:pPr>
        <w:pStyle w:val="SourceCode"/>
      </w:pPr>
      <w:r>
        <w:rPr>
          <w:rStyle w:val="VerbatimChar"/>
        </w:rPr>
        <w:t xml:space="preserve">##        A               B         </w:t>
      </w:r>
      <w:r>
        <w:br w:type="textWrapping"/>
      </w:r>
      <w:r>
        <w:rPr>
          <w:rStyle w:val="VerbatimChar"/>
        </w:rPr>
        <w:t xml:space="preserve">##  Min.   :50.12   Min.   : 42.35  </w:t>
      </w:r>
      <w:r>
        <w:br w:type="textWrapping"/>
      </w:r>
      <w:r>
        <w:rPr>
          <w:rStyle w:val="VerbatimChar"/>
        </w:rPr>
        <w:t xml:space="preserve">##  1st Qu.:51.91   1st Qu.: 65.98  </w:t>
      </w:r>
      <w:r>
        <w:br w:type="textWrapping"/>
      </w:r>
      <w:r>
        <w:rPr>
          <w:rStyle w:val="VerbatimChar"/>
        </w:rPr>
        <w:t xml:space="preserve">##  Median :52.60   Median : 79.56  </w:t>
      </w:r>
      <w:r>
        <w:br w:type="textWrapping"/>
      </w:r>
      <w:r>
        <w:rPr>
          <w:rStyle w:val="VerbatimChar"/>
        </w:rPr>
        <w:t xml:space="preserve">##  Mean   :52.69   Mean   : 89.20  </w:t>
      </w:r>
      <w:r>
        <w:br w:type="textWrapping"/>
      </w:r>
      <w:r>
        <w:rPr>
          <w:rStyle w:val="VerbatimChar"/>
        </w:rPr>
        <w:t xml:space="preserve">##  3rd Qu.:53.56   3rd Qu.:101.02  </w:t>
      </w:r>
      <w:r>
        <w:br w:type="textWrapping"/>
      </w:r>
      <w:r>
        <w:rPr>
          <w:rStyle w:val="VerbatimChar"/>
        </w:rPr>
        <w:t xml:space="preserve">##  Max.   :54.57   Max.   :163.10</w:t>
      </w:r>
    </w:p>
    <w:p>
      <w:pPr>
        <w:pStyle w:val="SourceCode"/>
      </w:pPr>
      <w:r>
        <w:rPr>
          <w:rStyle w:val="KeywordTok"/>
        </w:rPr>
        <w:t xml:space="preserve">describe</w:t>
      </w:r>
      <w:r>
        <w:rPr>
          <w:rStyle w:val="NormalTok"/>
        </w:rPr>
        <w:t xml:space="preserve">(data.in, </w:t>
      </w:r>
      <w:r>
        <w:rPr>
          <w:rStyle w:val="DataTypeTok"/>
        </w:rPr>
        <w:t xml:space="preserve">ranges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vars  n  mean    sd  skew kurtosis   se</w:t>
      </w:r>
      <w:r>
        <w:br w:type="textWrapping"/>
      </w:r>
      <w:r>
        <w:rPr>
          <w:rStyle w:val="VerbatimChar"/>
        </w:rPr>
        <w:t xml:space="preserve">## A    1 20 52.69  1.18 -0.20    -0.79 0.26</w:t>
      </w:r>
      <w:r>
        <w:br w:type="textWrapping"/>
      </w:r>
      <w:r>
        <w:rPr>
          <w:rStyle w:val="VerbatimChar"/>
        </w:rPr>
        <w:t xml:space="preserve">## B    2 20 89.20 36.86  0.74    -0.80 8.24</w:t>
      </w:r>
    </w:p>
    <w:p>
      <w:pPr>
        <w:pStyle w:val="Heading3"/>
      </w:pPr>
      <w:bookmarkStart w:id="26" w:name="q-q-plot"/>
      <w:bookmarkEnd w:id="26"/>
      <w:r>
        <w:t xml:space="preserve">Q-Q Plot</w:t>
      </w:r>
    </w:p>
    <w:p>
      <w:pPr>
        <w:pStyle w:val="FirstParagraph"/>
      </w:pPr>
      <w:r>
        <w:t xml:space="preserve">A Q-Q plot gives an indication of normality. The previous data is assessed in the following plots. If normally distributed, the data will lie near the red line. The first set is normal, the second is not. The histograms provide a more visual perspective.</w:t>
      </w:r>
    </w:p>
    <w:p>
      <w:pPr>
        <w:pStyle w:val="BodyText"/>
      </w:pPr>
      <w:r>
        <w:drawing>
          <wp:inline>
            <wp:extent cx="5334000" cy="4267200"/>
            <wp:effectExtent b="0" l="0" r="0" t="0"/>
            <wp:docPr descr="" id="1" name="Picture"/>
            <a:graphic>
              <a:graphicData uri="http://schemas.openxmlformats.org/drawingml/2006/picture">
                <pic:pic>
                  <pic:nvPicPr>
                    <pic:cNvPr descr="Chemistry_Statistics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8" w:name="skewness"/>
      <w:bookmarkEnd w:id="28"/>
      <w:r>
        <w:t xml:space="preserve">Skewness</w:t>
      </w:r>
    </w:p>
    <w:p>
      <w:pPr>
        <w:pStyle w:val="FirstParagraph"/>
      </w:pPr>
      <w:r>
        <w:t xml:space="preserve">Skewness quantifies how symmetrical the distribution is.</w:t>
      </w:r>
      <w:r>
        <w:t xml:space="preserve"> </w:t>
      </w:r>
      <w:r>
        <w:t xml:space="preserve">* A symmetrical distribution has a skewness of zero.</w:t>
      </w:r>
      <w:r>
        <w:t xml:space="preserve"> </w:t>
      </w:r>
      <w:r>
        <w:t xml:space="preserve">* An asymmetrical distribution with a long tail to the right (higher values) has a positive skew.</w:t>
      </w:r>
      <w:r>
        <w:t xml:space="preserve"> </w:t>
      </w:r>
      <w:r>
        <w:t xml:space="preserve">* An asymmetrical distribution with a long tail to the left (lower values) has a negative skew.</w:t>
      </w:r>
    </w:p>
    <w:p>
      <w:pPr>
        <w:pStyle w:val="Heading3"/>
      </w:pPr>
      <w:bookmarkStart w:id="29" w:name="kurtosis"/>
      <w:bookmarkEnd w:id="29"/>
      <w:r>
        <w:t xml:space="preserve">Kurtosis</w:t>
      </w:r>
    </w:p>
    <w:p>
      <w:pPr>
        <w:pStyle w:val="FirstParagraph"/>
      </w:pPr>
      <w:r>
        <w:t xml:space="preserve">Kurtosis characterizes the relative peakedness or flatness of a distribution compared with the normal distribution.</w:t>
      </w:r>
      <w:r>
        <w:t xml:space="preserve"> </w:t>
      </w:r>
      <w:r>
        <w:t xml:space="preserve">* Different to Excel, which sets a normal curve to a kurtosis of 3.</w:t>
      </w:r>
      <w:r>
        <w:t xml:space="preserve"> </w:t>
      </w:r>
      <w:r>
        <w:t xml:space="preserve">* A result less than 0 indicates a curve flatter than a normal distribution.</w:t>
      </w:r>
      <w:r>
        <w:t xml:space="preserve"> </w:t>
      </w:r>
      <w:r>
        <w:t xml:space="preserve">* A result greater than 0 indicates a curve sharper than a normal distribution.</w:t>
      </w:r>
    </w:p>
    <w:p>
      <w:pPr>
        <w:pStyle w:val="Heading2"/>
      </w:pPr>
      <w:bookmarkStart w:id="30" w:name="standard-deviation"/>
      <w:bookmarkEnd w:id="30"/>
      <w:r>
        <w:t xml:space="preserve">Standard Deviation</w:t>
      </w:r>
    </w:p>
    <w:p>
      <w:pPr>
        <w:pStyle w:val="FirstParagraph"/>
      </w:pPr>
      <w:r>
        <w:t xml:space="preserve">The standard deviation is just a way of describing the spread of the curve. The spread is described by the variance. The standard deviation is the square root of the variance, which means that it has the same units as the mean.</w:t>
      </w:r>
    </w:p>
    <w:p>
      <w:pPr>
        <w:pStyle w:val="BodyText"/>
      </w:pPr>
      <w:r>
        <w:t xml:space="preserve">A small standard deviation means a narrow shaped ‘bell’, a large standard deviation means a low flat ‘bell’.</w:t>
      </w:r>
    </w:p>
    <w:p>
      <w:pPr>
        <w:pStyle w:val="BodyText"/>
      </w:pPr>
      <w:r>
        <w:drawing>
          <wp:inline>
            <wp:extent cx="5334000" cy="2667000"/>
            <wp:effectExtent b="0" l="0" r="0" t="0"/>
            <wp:docPr descr="" id="1" name="Picture"/>
            <a:graphic>
              <a:graphicData uri="http://schemas.openxmlformats.org/drawingml/2006/picture">
                <pic:pic>
                  <pic:nvPicPr>
                    <pic:cNvPr descr="/Users/Study%20Old/Documents/GitHub/Chemistry_Stats/figures/normal.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Standard Deviation shows how much variation there is from the "average" (mean). It may be thought of as the average difference of the scores from the mean of distribution, how far they are away from the mean.</w:t>
      </w:r>
    </w:p>
    <w:p>
      <w:pPr>
        <w:pStyle w:val="BodyText"/>
      </w:pPr>
      <w:r>
        <w:t xml:space="preserve">A low standard deviation indicates that the data points tend to be very close to the mean, whereas high standard deviation indicates that the data are spread out over a large range of values.</w:t>
      </w:r>
    </w:p>
    <w:p>
      <w:pPr>
        <w:pStyle w:val="Heading3"/>
      </w:pPr>
      <w:bookmarkStart w:id="32" w:name="properties-of-standard-deviations"/>
      <w:bookmarkEnd w:id="32"/>
      <w:r>
        <w:t xml:space="preserve">Properties of standard deviations</w:t>
      </w:r>
    </w:p>
    <w:p>
      <w:pPr>
        <w:pStyle w:val="FirstParagraph"/>
      </w:pPr>
      <w:r>
        <w:t xml:space="preserve">For constant c and random variables X and Y:</w:t>
      </w:r>
    </w:p>
    <w:p>
      <w:pPr>
        <w:pStyle w:val="BodyText"/>
      </w:pPr>
      <m:oMathPara>
        <m:oMathParaPr>
          <m:jc m:val="center"/>
        </m:oMathParaPr>
        <m:oMath>
          <m:r>
            <m:rPr/>
            <m:t>s</m:t>
          </m:r>
          <m:r>
            <m:rPr/>
            <m:t>d</m:t>
          </m:r>
          <m:d>
            <m:dPr>
              <m:begChr m:val="("/>
              <m:endChr m:val=")"/>
              <m:grow/>
            </m:dPr>
            <m:e>
              <m:r>
                <m:rPr/>
                <m:t>X</m:t>
              </m:r>
              <m:r>
                <m:rPr/>
                <m:t>+</m:t>
              </m:r>
              <m:r>
                <m:rPr/>
                <m:t>c</m:t>
              </m:r>
            </m:e>
          </m:d>
          <m:r>
            <m:rPr/>
            <m:t>=</m:t>
          </m:r>
          <m:r>
            <m:rPr/>
            <m:t>s</m:t>
          </m:r>
          <m:r>
            <m:rPr/>
            <m:t>d</m:t>
          </m:r>
          <m:d>
            <m:dPr>
              <m:begChr m:val="("/>
              <m:endChr m:val=")"/>
              <m:grow/>
            </m:dPr>
            <m:e>
              <m:r>
                <m:rPr/>
                <m:t>X</m:t>
              </m:r>
            </m:e>
          </m:d>
        </m:oMath>
      </m:oMathPara>
    </w:p>
    <w:p>
      <w:pPr>
        <w:pStyle w:val="BodyText"/>
      </w:pPr>
      <m:oMathPara>
        <m:oMathParaPr>
          <m:jc m:val="center"/>
        </m:oMathParaPr>
        <m:oMath>
          <m:r>
            <m:rPr/>
            <m:t>s</m:t>
          </m:r>
          <m:r>
            <m:rPr/>
            <m:t>d</m:t>
          </m:r>
          <m:d>
            <m:dPr>
              <m:begChr m:val="("/>
              <m:endChr m:val=")"/>
              <m:grow/>
            </m:dPr>
            <m:e>
              <m:r>
                <m:rPr/>
                <m:t>c</m:t>
              </m:r>
              <m:r>
                <m:rPr/>
                <m:t>*</m:t>
              </m:r>
              <m:r>
                <m:rPr/>
                <m:t>X</m:t>
              </m:r>
            </m:e>
          </m:d>
          <m:r>
            <m:rPr/>
            <m:t>=</m:t>
          </m:r>
          <m:r>
            <m:rPr/>
            <m:t>|</m:t>
          </m:r>
          <m:r>
            <m:rPr/>
            <m:t>c</m:t>
          </m:r>
          <m:r>
            <m:rPr/>
            <m:t>|</m:t>
          </m:r>
          <m:r>
            <m:rPr/>
            <m:t>*</m:t>
          </m:r>
          <m:r>
            <m:rPr/>
            <m:t>s</m:t>
          </m:r>
          <m:r>
            <m:rPr/>
            <m:t>d</m:t>
          </m:r>
          <m:d>
            <m:dPr>
              <m:begChr m:val="("/>
              <m:endChr m:val=")"/>
              <m:grow/>
            </m:dPr>
            <m:e>
              <m:r>
                <m:rPr/>
                <m:t>X</m:t>
              </m:r>
            </m:e>
          </m:d>
        </m:oMath>
      </m:oMathPara>
    </w:p>
    <w:p>
      <w:pPr>
        <w:pStyle w:val="BodyText"/>
      </w:pPr>
      <m:oMathPara>
        <m:oMathParaPr>
          <m:jc m:val="center"/>
        </m:oMathParaPr>
        <m:oMath>
          <m:r>
            <m:rPr/>
            <m:t>s</m:t>
          </m:r>
          <m:r>
            <m:rPr/>
            <m:t>d</m:t>
          </m:r>
          <m:d>
            <m:dPr>
              <m:begChr m:val="("/>
              <m:endChr m:val=")"/>
              <m:grow/>
            </m:dPr>
            <m:e>
              <m:r>
                <m:rPr/>
                <m:t>X</m:t>
              </m:r>
              <m:r>
                <m:rPr/>
                <m:t>+</m:t>
              </m:r>
              <m:r>
                <m:rPr/>
                <m:t>Y</m:t>
              </m:r>
            </m:e>
          </m:d>
          <m:r>
            <m:rPr/>
            <m:t>=</m:t>
          </m:r>
          <m:rad>
            <m:radPr>
              <m:degHide m:val="on"/>
            </m:radPr>
            <m:deg/>
            <m:e>
              <m:r>
                <m:rPr/>
                <m:t>(</m:t>
              </m:r>
            </m:e>
          </m:rad>
          <m:r>
            <m:rPr/>
            <m:t>v</m:t>
          </m:r>
          <m:r>
            <m:rPr/>
            <m:t>a</m:t>
          </m:r>
          <m:r>
            <m:rPr/>
            <m:t>r</m:t>
          </m:r>
          <m:d>
            <m:dPr>
              <m:begChr m:val="("/>
              <m:endChr m:val=")"/>
              <m:grow/>
            </m:dPr>
            <m:e>
              <m:r>
                <m:rPr/>
                <m:t>X</m:t>
              </m:r>
            </m:e>
          </m:d>
          <m:r>
            <m:rPr/>
            <m:t>+</m:t>
          </m:r>
          <m:r>
            <m:rPr/>
            <m:t>v</m:t>
          </m:r>
          <m:r>
            <m:rPr/>
            <m:t>a</m:t>
          </m:r>
          <m:r>
            <m:rPr/>
            <m:t>r</m:t>
          </m:r>
          <m:d>
            <m:dPr>
              <m:begChr m:val="("/>
              <m:endChr m:val=")"/>
              <m:grow/>
            </m:dPr>
            <m:e>
              <m:r>
                <m:rPr/>
                <m:t>Y</m:t>
              </m:r>
            </m:e>
          </m:d>
          <m:r>
            <m:rPr/>
            <m:t>+</m:t>
          </m:r>
          <m:r>
            <m:rPr/>
            <m:t>2</m:t>
          </m:r>
          <m:r>
            <m:rPr/>
            <m:t>*</m:t>
          </m:r>
          <m:r>
            <m:rPr/>
            <m:t>c</m:t>
          </m:r>
          <m:r>
            <m:rPr/>
            <m:t>o</m:t>
          </m:r>
          <m:r>
            <m:rPr/>
            <m:t>v</m:t>
          </m:r>
          <m:d>
            <m:dPr>
              <m:begChr m:val="("/>
              <m:endChr m:val=")"/>
              <m:grow/>
            </m:dPr>
            <m:e>
              <m:r>
                <m:rPr/>
                <m:t>X</m:t>
              </m:r>
              <m:r>
                <m:rPr/>
                <m:t>,</m:t>
              </m:r>
              <m:r>
                <m:rPr/>
                <m:t>Y</m:t>
              </m:r>
            </m:e>
          </m:d>
          <m:r>
            <m:rPr/>
            <m:t>)</m:t>
          </m:r>
        </m:oMath>
      </m:oMathPara>
    </w:p>
    <w:p>
      <w:pPr>
        <w:pStyle w:val="BodyText"/>
      </w:pPr>
      <w:r>
        <w:t xml:space="preserve">where var() and cov() stand for variance and covariance, respectively.</w:t>
      </w:r>
    </w:p>
    <w:p>
      <w:pPr>
        <w:pStyle w:val="BodyText"/>
      </w:pPr>
      <w:r>
        <w:t xml:space="preserve">NOTE: Usually, covariance is not an issue for chemists as the variables are usually independent. Usually. An example where they are not is in the calculation of the MU of Energy. The value for carbohydrate is not independent of the values for fat and protein and allowance must be made for covariance. This is done most easily by using the Monte Carlo method.</w:t>
      </w:r>
    </w:p>
    <w:p>
      <w:pPr>
        <w:pStyle w:val="BodyText"/>
      </w:pPr>
      <m:oMathPara>
        <m:oMathParaPr>
          <m:jc m:val="center"/>
        </m:oMathParaPr>
        <m:oMath>
          <m:d>
            <m:dPr>
              <m:begChr m:val="("/>
              <m:endChr m:val=")"/>
              <m:grow/>
            </m:dPr>
            <m:e>
              <m:r>
                <m:rPr/>
                <m:t>A</m:t>
              </m:r>
              <m:r>
                <m:rPr/>
                <m:t>±</m:t>
              </m:r>
              <m:r>
                <m:rPr/>
                <m:t>a</m:t>
              </m:r>
            </m:e>
          </m:d>
          <m:r>
            <m:rPr/>
            <m:t>+</m:t>
          </m:r>
          <m:d>
            <m:dPr>
              <m:begChr m:val="("/>
              <m:endChr m:val=")"/>
              <m:grow/>
            </m:dPr>
            <m:e>
              <m:r>
                <m:rPr/>
                <m:t>B</m:t>
              </m:r>
              <m:r>
                <m:rPr/>
                <m:t>±</m:t>
              </m:r>
              <m:r>
                <m:rPr/>
                <m:t>b</m:t>
              </m:r>
            </m:e>
          </m:d>
          <m:r>
            <m:rPr/>
            <m:t>=</m:t>
          </m:r>
          <m:d>
            <m:dPr>
              <m:begChr m:val="("/>
              <m:endChr m:val=")"/>
              <m:grow/>
            </m:dPr>
            <m:e>
              <m:r>
                <m:rPr/>
                <m:t>C</m:t>
              </m:r>
              <m:r>
                <m:rPr/>
                <m:t>±</m:t>
              </m:r>
              <m:r>
                <m:rPr/>
                <m:t>c</m:t>
              </m:r>
            </m:e>
          </m:d>
        </m:oMath>
      </m:oMathPara>
    </w:p>
    <w:p>
      <w:pPr>
        <w:pStyle w:val="BodyText"/>
      </w:pPr>
      <w:r>
        <w:t xml:space="preserve"> </w:t>
      </w:r>
    </w:p>
    <w:p>
      <w:pPr>
        <w:pStyle w:val="BodyText"/>
      </w:pPr>
      <m:oMathPara>
        <m:oMathParaPr>
          <m:jc m:val="center"/>
        </m:oMathParaPr>
        <m:oMath>
          <m:r>
            <m:rPr/>
            <m:t>A</m:t>
          </m:r>
          <m:r>
            <m:rPr/>
            <m:t>+</m:t>
          </m:r>
          <m:r>
            <m:rPr/>
            <m:t>B</m:t>
          </m:r>
          <m:r>
            <m:rPr/>
            <m:t>=</m:t>
          </m:r>
          <m:r>
            <m:rPr/>
            <m:t>C</m:t>
          </m:r>
        </m:oMath>
      </m:oMathPara>
    </w:p>
    <w:p>
      <w:pPr>
        <w:pStyle w:val="BodyText"/>
      </w:pPr>
      <w:r>
        <w:t xml:space="preserve">and</w:t>
      </w:r>
    </w:p>
    <w:p>
      <w:pPr>
        <w:pStyle w:val="BodyText"/>
      </w:pPr>
      <m:oMathPara>
        <m:oMathParaPr>
          <m:jc m:val="center"/>
        </m:oMathParaPr>
        <m:oMath>
          <m:r>
            <m:rPr/>
            <m:t>c</m:t>
          </m:r>
          <m:r>
            <m:rPr/>
            <m:t>=</m:t>
          </m:r>
          <m:rad>
            <m:radPr>
              <m:degHide m:val="on"/>
            </m:radPr>
            <m:deg/>
            <m:e>
              <m:r>
                <m:rPr/>
                <m:t>(</m:t>
              </m:r>
            </m:e>
          </m:rad>
          <m:sSup>
            <m:e>
              <m:r>
                <m:rPr/>
                <m:t>a</m:t>
              </m:r>
            </m:e>
            <m:sup>
              <m:r>
                <m:rPr/>
                <m:t>2</m:t>
              </m:r>
            </m:sup>
          </m:sSup>
          <m:r>
            <m:rPr/>
            <m:t>+</m:t>
          </m:r>
          <m:sSup>
            <m:e>
              <m:r>
                <m:rPr/>
                <m:t>b</m:t>
              </m:r>
            </m:e>
            <m:sup>
              <m:r>
                <m:rPr/>
                <m:t>2</m:t>
              </m:r>
            </m:sup>
          </m:sSup>
          <m:r>
            <m:rPr/>
            <m:t>)</m:t>
          </m:r>
        </m:oMath>
      </m:oMathPara>
    </w:p>
    <w:p>
      <w:pPr>
        <w:pStyle w:val="BodyText"/>
      </w:pPr>
      <w:r>
        <w:t xml:space="preserve">For a complex product (and division) equation:</w:t>
      </w:r>
    </w:p>
    <w:p>
      <w:pPr>
        <w:pStyle w:val="BodyText"/>
      </w:pPr>
      <m:oMathPara>
        <m:oMathParaPr>
          <m:jc m:val="center"/>
        </m:oMathParaPr>
        <m:oMath>
          <m:f>
            <m:fPr>
              <m:type m:val="bar"/>
            </m:fPr>
            <m:num>
              <m:d>
                <m:dPr>
                  <m:begChr m:val="("/>
                  <m:endChr m:val=")"/>
                  <m:grow/>
                </m:dPr>
                <m:e>
                  <m:r>
                    <m:rPr/>
                    <m:t>A</m:t>
                  </m:r>
                  <m:r>
                    <m:rPr/>
                    <m:t>±</m:t>
                  </m:r>
                  <m:r>
                    <m:rPr/>
                    <m:t>a</m:t>
                  </m:r>
                </m:e>
              </m:d>
              <m:r>
                <m:rPr/>
                <m:t>*</m:t>
              </m:r>
              <m:d>
                <m:dPr>
                  <m:begChr m:val="("/>
                  <m:endChr m:val=")"/>
                  <m:grow/>
                </m:dPr>
                <m:e>
                  <m:r>
                    <m:rPr/>
                    <m:t>B</m:t>
                  </m:r>
                  <m:r>
                    <m:rPr/>
                    <m:t>±</m:t>
                  </m:r>
                  <m:r>
                    <m:rPr/>
                    <m:t>b</m:t>
                  </m:r>
                </m:e>
              </m:d>
            </m:num>
            <m:den>
              <m:d>
                <m:dPr>
                  <m:begChr m:val="("/>
                  <m:endChr m:val=")"/>
                  <m:grow/>
                </m:dPr>
                <m:e>
                  <m:r>
                    <m:rPr/>
                    <m:t>C</m:t>
                  </m:r>
                  <m:r>
                    <m:rPr/>
                    <m:t>±</m:t>
                  </m:r>
                  <m:r>
                    <m:rPr/>
                    <m:t>c</m:t>
                  </m:r>
                </m:e>
              </m:d>
            </m:den>
          </m:f>
          <m:r>
            <m:rPr/>
            <m:t>=</m:t>
          </m:r>
          <m:d>
            <m:dPr>
              <m:begChr m:val="("/>
              <m:endChr m:val=")"/>
              <m:grow/>
            </m:dPr>
            <m:e>
              <m:r>
                <m:rPr/>
                <m:t>D</m:t>
              </m:r>
              <m:r>
                <m:rPr/>
                <m:t>±</m:t>
              </m:r>
              <m:r>
                <m:rPr/>
                <m:t>d</m:t>
              </m:r>
            </m:e>
          </m:d>
        </m:oMath>
      </m:oMathPara>
    </w:p>
    <w:p>
      <w:pPr>
        <w:pStyle w:val="BodyText"/>
      </w:pPr>
      <m:oMathPara>
        <m:oMathParaPr>
          <m:jc m:val="center"/>
        </m:oMathParaPr>
        <m:oMath>
          <m:r>
            <m:rPr/>
            <m:t>D</m:t>
          </m:r>
          <m:r>
            <m:rPr/>
            <m:t>=</m:t>
          </m:r>
          <m:f>
            <m:fPr>
              <m:type m:val="bar"/>
            </m:fPr>
            <m:num>
              <m:r>
                <m:rPr/>
                <m:t>A</m:t>
              </m:r>
              <m:r>
                <m:rPr/>
                <m:t>*</m:t>
              </m:r>
              <m:r>
                <m:rPr/>
                <m:t>B</m:t>
              </m:r>
            </m:num>
            <m:den>
              <m:r>
                <m:rPr/>
                <m:t>C</m:t>
              </m:r>
            </m:den>
          </m:f>
        </m:oMath>
      </m:oMathPara>
    </w:p>
    <w:p>
      <w:pPr>
        <w:pStyle w:val="BodyText"/>
      </w:pPr>
      <w:r>
        <w:t xml:space="preserve"> </w:t>
      </w:r>
    </w:p>
    <w:p>
      <w:pPr>
        <w:pStyle w:val="BodyText"/>
      </w:pPr>
      <m:oMathPara>
        <m:oMathParaPr>
          <m:jc m:val="center"/>
        </m:oMathParaPr>
        <m:oMath>
          <m:r>
            <m:rPr/>
            <m:t>d</m:t>
          </m:r>
          <m:r>
            <m:rPr/>
            <m:t>=</m:t>
          </m:r>
          <m:r>
            <m:rPr/>
            <m:t>D</m:t>
          </m:r>
          <m:r>
            <m:rPr/>
            <m:t>*</m:t>
          </m:r>
          <m:rad>
            <m:radPr>
              <m:degHide m:val="on"/>
            </m:radPr>
            <m:deg/>
            <m:e>
              <m:r>
                <m:rPr/>
                <m:t>(</m:t>
              </m:r>
            </m:e>
          </m:rad>
          <m:sSup>
            <m:e>
              <m:d>
                <m:dPr>
                  <m:begChr m:val="("/>
                  <m:endChr m:val=")"/>
                  <m:grow/>
                </m:dPr>
                <m:e>
                  <m:f>
                    <m:fPr>
                      <m:type m:val="bar"/>
                    </m:fPr>
                    <m:num>
                      <m:r>
                        <m:rPr/>
                        <m:t>a</m:t>
                      </m:r>
                    </m:num>
                    <m:den>
                      <m:r>
                        <m:rPr/>
                        <m:t>A</m:t>
                      </m:r>
                    </m:den>
                  </m:f>
                </m:e>
              </m:d>
            </m:e>
            <m:sup>
              <m:r>
                <m:rPr/>
                <m:t>2</m:t>
              </m:r>
            </m:sup>
          </m:sSup>
          <m:r>
            <m:rPr/>
            <m:t>+</m:t>
          </m:r>
          <m:sSup>
            <m:e>
              <m:d>
                <m:dPr>
                  <m:begChr m:val="("/>
                  <m:endChr m:val=")"/>
                  <m:grow/>
                </m:dPr>
                <m:e>
                  <m:f>
                    <m:fPr>
                      <m:type m:val="bar"/>
                    </m:fPr>
                    <m:num>
                      <m:r>
                        <m:rPr/>
                        <m:t>b</m:t>
                      </m:r>
                    </m:num>
                    <m:den>
                      <m:r>
                        <m:rPr/>
                        <m:t>B</m:t>
                      </m:r>
                    </m:den>
                  </m:f>
                </m:e>
              </m:d>
            </m:e>
            <m:sup>
              <m:r>
                <m:rPr/>
                <m:t>2</m:t>
              </m:r>
            </m:sup>
          </m:sSup>
          <m:r>
            <m:rPr/>
            <m:t>+</m:t>
          </m:r>
          <m:sSup>
            <m:e>
              <m:d>
                <m:dPr>
                  <m:begChr m:val="("/>
                  <m:endChr m:val=")"/>
                  <m:grow/>
                </m:dPr>
                <m:e>
                  <m:f>
                    <m:fPr>
                      <m:type m:val="bar"/>
                    </m:fPr>
                    <m:num>
                      <m:r>
                        <m:rPr/>
                        <m:t>c</m:t>
                      </m:r>
                    </m:num>
                    <m:den>
                      <m:r>
                        <m:rPr/>
                        <m:t>C</m:t>
                      </m:r>
                    </m:den>
                  </m:f>
                </m:e>
              </m:d>
            </m:e>
            <m:sup>
              <m:r>
                <m:rPr/>
                <m:t>2</m:t>
              </m:r>
            </m:sup>
          </m:sSup>
          <m:r>
            <m:rPr/>
            <m:t>)</m:t>
          </m:r>
        </m:oMath>
      </m:oMathPara>
    </w:p>
    <w:p>
      <w:pPr>
        <w:pStyle w:val="Heading3"/>
      </w:pPr>
      <w:bookmarkStart w:id="33" w:name="z-score"/>
      <w:bookmarkEnd w:id="33"/>
      <w:r>
        <w:t xml:space="preserve">z score</w:t>
      </w:r>
    </w:p>
    <w:p>
      <w:pPr>
        <w:pStyle w:val="FirstParagraph"/>
      </w:pPr>
      <w:r>
        <w:t xml:space="preserve">A z-score is a normalised standard deviation where the mean is zero and the standard deviation is 1. This permits the comparison of distributions by reducing them all back to a common metric.</w:t>
      </w:r>
    </w:p>
    <w:p>
      <w:pPr>
        <w:pStyle w:val="BodyText"/>
      </w:pPr>
      <m:oMathPara>
        <m:oMathParaPr>
          <m:jc m:val="center"/>
        </m:oMathParaPr>
        <m:oMath>
          <m:r>
            <m:rPr/>
            <m:t>z</m:t>
          </m:r>
          <m:r>
            <m:rPr/>
            <m:t>=</m:t>
          </m:r>
          <m:f>
            <m:fPr>
              <m:type m:val="bar"/>
            </m:fPr>
            <m:num>
              <m:d>
                <m:dPr>
                  <m:begChr m:val="("/>
                  <m:endChr m:val=")"/>
                  <m:grow/>
                </m:dPr>
                <m:e>
                  <m:r>
                    <m:rPr/>
                    <m:t>r</m:t>
                  </m:r>
                  <m:r>
                    <m:rPr/>
                    <m:t>e</m:t>
                  </m:r>
                  <m:r>
                    <m:rPr/>
                    <m:t>s</m:t>
                  </m:r>
                  <m:r>
                    <m:rPr/>
                    <m:t>u</m:t>
                  </m:r>
                  <m:r>
                    <m:rPr/>
                    <m:t>l</m:t>
                  </m:r>
                  <m:r>
                    <m:rPr/>
                    <m:t>t</m:t>
                  </m:r>
                  <m:r>
                    <m:rPr/>
                    <m:t>−</m:t>
                  </m:r>
                  <m:r>
                    <m:rPr/>
                    <m:t>m</m:t>
                  </m:r>
                  <m:r>
                    <m:rPr/>
                    <m:t>e</m:t>
                  </m:r>
                  <m:r>
                    <m:rPr/>
                    <m:t>a</m:t>
                  </m:r>
                  <m:r>
                    <m:rPr/>
                    <m:t>n</m:t>
                  </m:r>
                </m:e>
              </m:d>
            </m:num>
            <m:den>
              <m:r>
                <m:rPr/>
                <m:t>s</m:t>
              </m:r>
              <m:r>
                <m:rPr/>
                <m:t>d</m:t>
              </m:r>
            </m:den>
          </m:f>
        </m:oMath>
      </m:oMathPara>
    </w:p>
    <w:p>
      <w:pPr>
        <w:pStyle w:val="Heading3"/>
      </w:pPr>
      <w:bookmarkStart w:id="34" w:name="pooled-standard-deviation"/>
      <w:bookmarkEnd w:id="34"/>
      <w:r>
        <w:t xml:space="preserve">Pooled Standard Deviation</w:t>
      </w:r>
    </w:p>
    <w:p>
      <w:pPr>
        <w:pStyle w:val="FirstParagraph"/>
      </w:pPr>
      <w:r>
        <w:t xml:space="preserve">Pooled standard deviation is the square-root of the pooled variance.</w:t>
      </w:r>
    </w:p>
    <w:p>
      <w:pPr>
        <w:pStyle w:val="BodyText"/>
      </w:pPr>
      <w:r>
        <w:t xml:space="preserve">The reason for pooled standard deviation is that you may sometimes have a number of small equivalent trials and a combined standard deviation will give a more robust value than any of the single, small population, estimates.</w:t>
      </w:r>
    </w:p>
    <w:p>
      <w:pPr>
        <w:pStyle w:val="BodyText"/>
      </w:pPr>
      <w:r>
        <w:t xml:space="preserve">Pooled variance is calculated by</w:t>
      </w:r>
    </w:p>
    <w:p>
      <w:pPr>
        <w:pStyle w:val="BodyText"/>
      </w:pPr>
      <m:oMathPara>
        <m:oMathParaPr>
          <m:jc m:val="center"/>
        </m:oMathParaPr>
        <m:oMath>
          <m:sSubSup>
            <m:e>
              <m:r>
                <m:rPr/>
                <m:t>s</m:t>
              </m:r>
            </m:e>
            <m:sub>
              <m:r>
                <m:rPr/>
                <m:t>p</m:t>
              </m:r>
            </m:sub>
            <m:sup>
              <m:r>
                <m:rPr/>
                <m:t>2</m:t>
              </m:r>
            </m:sup>
          </m:sSubSup>
          <m:r>
            <m:rPr/>
            <m:t>=</m:t>
          </m:r>
          <m:f>
            <m:fPr>
              <m:type m:val="bar"/>
            </m:fPr>
            <m:num>
              <m:nary>
                <m:naryPr>
                  <m:chr m:val="∑"/>
                  <m:limLoc m:val="undOvr"/>
                  <m:subHide m:val="off"/>
                  <m:supHide m:val="off"/>
                </m:naryPr>
                <m:e>
                  <m:d>
                    <m:dPr>
                      <m:begChr m:val="("/>
                      <m:endChr m:val=")"/>
                      <m:grow/>
                    </m:dPr>
                    <m:e>
                      <m:sSub>
                        <m:e>
                          <m:r>
                            <m:rPr/>
                            <m:t>n</m:t>
                          </m:r>
                        </m:e>
                        <m:sub>
                          <m:r>
                            <m:rPr/>
                            <m:t>1</m:t>
                          </m:r>
                        </m:sub>
                      </m:sSub>
                      <m:r>
                        <m:rPr/>
                        <m:t>−</m:t>
                      </m:r>
                      <m:r>
                        <m:rPr/>
                        <m:t>1</m:t>
                      </m:r>
                    </m:e>
                  </m:d>
                </m:e>
                <m:sub>
                  <m:r>
                    <m:rPr/>
                    <m:t>i</m:t>
                  </m:r>
                  <m:r>
                    <m:rPr/>
                    <m:t>=</m:t>
                  </m:r>
                  <m:r>
                    <m:rPr/>
                    <m:t>1</m:t>
                  </m:r>
                </m:sub>
                <m:sup>
                  <m:r>
                    <m:rPr/>
                    <m:t>k</m:t>
                  </m:r>
                </m:sup>
              </m:nary>
              <m:sSubSup>
                <m:e>
                  <m:r>
                    <m:rPr/>
                    <m:t>s</m:t>
                  </m:r>
                </m:e>
                <m:sub>
                  <m:r>
                    <m:rPr/>
                    <m:t>i</m:t>
                  </m:r>
                </m:sub>
                <m:sup>
                  <m:r>
                    <m:rPr/>
                    <m:t>2</m:t>
                  </m:r>
                </m:sup>
              </m:sSubSup>
            </m:num>
            <m:den>
              <m:nary>
                <m:naryPr>
                  <m:chr m:val="∑"/>
                  <m:limLoc m:val="undOvr"/>
                  <m:subHide m:val="off"/>
                  <m:supHide m:val="off"/>
                </m:naryPr>
                <m:e>
                  <m:d>
                    <m:dPr>
                      <m:begChr m:val="("/>
                      <m:endChr m:val=")"/>
                      <m:grow/>
                    </m:dPr>
                    <m:e>
                      <m:sSub>
                        <m:e>
                          <m:r>
                            <m:rPr/>
                            <m:t>n</m:t>
                          </m:r>
                        </m:e>
                        <m:sub>
                          <m:r>
                            <m:rPr/>
                            <m:t>1</m:t>
                          </m:r>
                        </m:sub>
                      </m:sSub>
                      <m:r>
                        <m:rPr/>
                        <m:t>−</m:t>
                      </m:r>
                      <m:r>
                        <m:rPr/>
                        <m:t>1</m:t>
                      </m:r>
                    </m:e>
                  </m:d>
                </m:e>
                <m:sub>
                  <m:r>
                    <m:rPr/>
                    <m:t>i</m:t>
                  </m:r>
                  <m:r>
                    <m:rPr/>
                    <m:t>=</m:t>
                  </m:r>
                  <m:r>
                    <m:rPr/>
                    <m:t>1</m:t>
                  </m:r>
                </m:sub>
                <m:sup>
                  <m:r>
                    <m:rPr/>
                    <m:t>k</m:t>
                  </m:r>
                </m:sup>
              </m:nary>
            </m:den>
          </m:f>
        </m:oMath>
      </m:oMathPara>
    </w:p>
    <w:p>
      <w:pPr>
        <w:pStyle w:val="BodyText"/>
      </w:pPr>
      <w:r>
        <w:t xml:space="preserve">or with simpler notation,</w:t>
      </w:r>
    </w:p>
    <w:p>
      <w:pPr>
        <w:pStyle w:val="BodyText"/>
      </w:pPr>
      <m:oMathPara>
        <m:oMathParaPr>
          <m:jc m:val="center"/>
        </m:oMathParaPr>
        <m:oMath>
          <m:sSubSup>
            <m:e>
              <m:r>
                <m:rPr/>
                <m:t>s</m:t>
              </m:r>
            </m:e>
            <m:sub>
              <m:r>
                <m:rPr/>
                <m:t>p</m:t>
              </m:r>
            </m:sub>
            <m:sup>
              <m:r>
                <m:rPr/>
                <m:t>2</m:t>
              </m:r>
            </m:sup>
          </m:sSubSup>
          <m:r>
            <m:rPr/>
            <m:t>=</m:t>
          </m:r>
          <m:f>
            <m:fPr>
              <m:type m:val="bar"/>
            </m:fPr>
            <m:num>
              <m:d>
                <m:dPr>
                  <m:begChr m:val="("/>
                  <m:endChr m:val=")"/>
                  <m:grow/>
                </m:dPr>
                <m:e>
                  <m:sSub>
                    <m:e>
                      <m:r>
                        <m:rPr/>
                        <m:t>n</m:t>
                      </m:r>
                    </m:e>
                    <m:sub>
                      <m:r>
                        <m:rPr/>
                        <m:t>1</m:t>
                      </m:r>
                    </m:sub>
                  </m:sSub>
                  <m:r>
                    <m:rPr/>
                    <m:t>−</m:t>
                  </m:r>
                  <m:r>
                    <m:rPr/>
                    <m:t>1</m:t>
                  </m:r>
                </m:e>
              </m:d>
              <m:sSubSup>
                <m:e>
                  <m:r>
                    <m:rPr/>
                    <m:t>s</m:t>
                  </m:r>
                </m:e>
                <m:sub>
                  <m:r>
                    <m:rPr/>
                    <m:t>1</m:t>
                  </m:r>
                </m:sub>
                <m:sup>
                  <m:r>
                    <m:rPr/>
                    <m:t>2</m:t>
                  </m:r>
                </m:sup>
              </m:sSubSup>
              <m:r>
                <m:rPr/>
                <m:t>+</m:t>
              </m:r>
              <m:d>
                <m:dPr>
                  <m:begChr m:val="("/>
                  <m:endChr m:val=")"/>
                  <m:grow/>
                </m:dPr>
                <m:e>
                  <m:sSub>
                    <m:e>
                      <m:r>
                        <m:rPr/>
                        <m:t>n</m:t>
                      </m:r>
                    </m:e>
                    <m:sub>
                      <m:r>
                        <m:rPr/>
                        <m:t>2</m:t>
                      </m:r>
                    </m:sub>
                  </m:sSub>
                  <m:r>
                    <m:rPr/>
                    <m:t>−</m:t>
                  </m:r>
                  <m:r>
                    <m:rPr/>
                    <m:t>1</m:t>
                  </m:r>
                </m:e>
              </m:d>
              <m:sSubSup>
                <m:e>
                  <m:r>
                    <m:rPr/>
                    <m:t>s</m:t>
                  </m:r>
                </m:e>
                <m:sub>
                  <m:r>
                    <m:rPr/>
                    <m:t>2</m:t>
                  </m:r>
                </m:sub>
                <m:sup>
                  <m:r>
                    <m:rPr/>
                    <m:t>2</m:t>
                  </m:r>
                </m:sup>
              </m:sSubSup>
              <m:r>
                <m:rPr/>
                <m:t>+</m:t>
              </m:r>
              <m:r>
                <m:rPr/>
                <m:t>.</m:t>
              </m:r>
              <m:r>
                <m:rPr/>
                <m:t>.</m:t>
              </m:r>
              <m:r>
                <m:rPr/>
                <m:t>.</m:t>
              </m:r>
              <m:r>
                <m:rPr/>
                <m:t>+</m:t>
              </m:r>
              <m:d>
                <m:dPr>
                  <m:begChr m:val="("/>
                  <m:endChr m:val=")"/>
                  <m:grow/>
                </m:dPr>
                <m:e>
                  <m:sSub>
                    <m:e>
                      <m:r>
                        <m:rPr/>
                        <m:t>n</m:t>
                      </m:r>
                    </m:e>
                    <m:sub>
                      <m:r>
                        <m:rPr/>
                        <m:t>k</m:t>
                      </m:r>
                    </m:sub>
                  </m:sSub>
                  <m:r>
                    <m:rPr/>
                    <m:t>−</m:t>
                  </m:r>
                  <m:r>
                    <m:rPr/>
                    <m:t>1</m:t>
                  </m:r>
                </m:e>
              </m:d>
              <m:sSubSup>
                <m:e>
                  <m:r>
                    <m:rPr/>
                    <m:t>s</m:t>
                  </m:r>
                </m:e>
                <m:sub>
                  <m:r>
                    <m:rPr/>
                    <m:t>k</m:t>
                  </m:r>
                </m:sub>
                <m:sup>
                  <m:r>
                    <m:rPr/>
                    <m:t>2</m:t>
                  </m:r>
                </m:sup>
              </m:sSubSup>
            </m:num>
            <m:den>
              <m:sSub>
                <m:e>
                  <m:r>
                    <m:rPr/>
                    <m:t>n</m:t>
                  </m:r>
                </m:e>
                <m:sub>
                  <m:r>
                    <m:rPr/>
                    <m:t>1</m:t>
                  </m:r>
                </m:sub>
              </m:sSub>
              <m:r>
                <m:rPr/>
                <m:t>+</m:t>
              </m:r>
              <m:sSub>
                <m:e>
                  <m:r>
                    <m:rPr/>
                    <m:t>n</m:t>
                  </m:r>
                </m:e>
                <m:sub>
                  <m:r>
                    <m:rPr/>
                    <m:t>2</m:t>
                  </m:r>
                </m:sub>
              </m:sSub>
              <m:r>
                <m:rPr/>
                <m:t>+</m:t>
              </m:r>
              <m:r>
                <m:rPr/>
                <m:t>.</m:t>
              </m:r>
              <m:r>
                <m:rPr/>
                <m:t>.</m:t>
              </m:r>
              <m:r>
                <m:rPr/>
                <m:t>.</m:t>
              </m:r>
              <m:r>
                <m:rPr/>
                <m:t>+</m:t>
              </m:r>
              <m:sSub>
                <m:e>
                  <m:r>
                    <m:rPr/>
                    <m:t>n</m:t>
                  </m:r>
                </m:e>
                <m:sub>
                  <m:r>
                    <m:rPr/>
                    <m:t>k</m:t>
                  </m:r>
                </m:sub>
              </m:sSub>
              <m:r>
                <m:rPr/>
                <m:t>−</m:t>
              </m:r>
              <m:r>
                <m:rPr/>
                <m:t>k</m:t>
              </m:r>
            </m:den>
          </m:f>
        </m:oMath>
      </m:oMathPara>
    </w:p>
    <w:p>
      <w:pPr>
        <w:pStyle w:val="BodyText"/>
      </w:pPr>
      <w:r>
        <w:t xml:space="preserve">where sp</w:t>
      </w:r>
      <w:r>
        <w:rPr>
          <w:vertAlign w:val="superscript"/>
        </w:rPr>
        <w:t xml:space="preserve">2</w:t>
      </w:r>
      <w:r>
        <w:t xml:space="preserve"> </w:t>
      </w:r>
      <w:r>
        <w:t xml:space="preserve">is the pooled variance and k is the number of samples being combined. n − 1 is used instead of n for the same reason it may be used in estimating variances from samples (i.e. Bessel's correction).</w:t>
      </w:r>
    </w:p>
    <w:p>
      <w:pPr>
        <w:pStyle w:val="Heading3"/>
      </w:pPr>
      <w:bookmarkStart w:id="35" w:name="standard-error-of-the-mean"/>
      <w:bookmarkEnd w:id="35"/>
      <w:r>
        <w:t xml:space="preserve">Standard error of the mean</w:t>
      </w:r>
    </w:p>
    <w:p>
      <w:pPr>
        <w:pStyle w:val="FirstParagraph"/>
      </w:pPr>
      <w:r>
        <w:t xml:space="preserve">The standard error of the mean (SEM) is the standard deviation of the sample-mean's estimate of a population mean.</w:t>
      </w:r>
    </w:p>
    <w:p>
      <w:pPr>
        <w:pStyle w:val="BodyText"/>
      </w:pPr>
      <w:r>
        <w:t xml:space="preserve">SEM is usually estimated by the sample estimate of the population standard deviation (sample standard deviation) divided by the square root of the sample size (assuming statistical independence of the values in the sample):</w:t>
      </w:r>
    </w:p>
    <w:p>
      <w:pPr>
        <w:pStyle w:val="BodyText"/>
      </w:pPr>
      <m:oMathPara>
        <m:oMathParaPr>
          <m:jc m:val="center"/>
        </m:oMathParaPr>
        <m:oMath>
          <m:r>
            <m:rPr/>
            <m:t>S</m:t>
          </m:r>
          <m:r>
            <m:rPr/>
            <m:t>E</m:t>
          </m:r>
          <m:r>
            <m:rPr/>
            <m:t>M</m:t>
          </m:r>
          <m:r>
            <m:rPr/>
            <m:t>=</m:t>
          </m:r>
          <m:f>
            <m:fPr>
              <m:type m:val="bar"/>
            </m:fPr>
            <m:num>
              <m:r>
                <m:rPr/>
                <m:t>s</m:t>
              </m:r>
              <m:r>
                <m:rPr/>
                <m:t>d</m:t>
              </m:r>
            </m:num>
            <m:den>
              <m:rad>
                <m:radPr>
                  <m:degHide m:val="on"/>
                </m:radPr>
                <m:deg/>
                <m:e>
                  <m:r>
                    <m:rPr/>
                    <m:t>(</m:t>
                  </m:r>
                </m:e>
              </m:rad>
              <m:r>
                <m:rPr/>
                <m:t>n</m:t>
              </m:r>
              <m:r>
                <m:rPr/>
                <m:t>)</m:t>
              </m:r>
            </m:den>
          </m:f>
        </m:oMath>
      </m:oMathPara>
    </w:p>
    <w:p>
      <w:pPr>
        <w:pStyle w:val="BodyText"/>
      </w:pPr>
      <w:r>
        <w:t xml:space="preserve">where</w:t>
      </w:r>
    </w:p>
    <w:p>
      <w:pPr>
        <w:pStyle w:val="BodyText"/>
      </w:pPr>
      <w:r>
        <w:t xml:space="preserve">sd = the sample standard deviation (i.e., the sample-based estimate of the</w:t>
      </w:r>
      <w:r>
        <w:t xml:space="preserve"> </w:t>
      </w:r>
      <w:r>
        <w:t xml:space="preserve">standard deviation of the population), and</w:t>
      </w:r>
    </w:p>
    <w:p>
      <w:pPr>
        <w:pStyle w:val="BodyText"/>
      </w:pPr>
      <w:r>
        <w:t xml:space="preserve">n = the size (number of observations) of the sample.</w:t>
      </w:r>
    </w:p>
    <w:p>
      <w:pPr>
        <w:pStyle w:val="BodyText"/>
      </w:pPr>
      <w:r>
        <w:t xml:space="preserve">Consequently, the SEM is always smaller than the sample standard deviation and this is why an average is always a better estimate than a single test.</w:t>
      </w:r>
    </w:p>
    <w:p>
      <w:pPr>
        <w:pStyle w:val="Heading3"/>
      </w:pPr>
      <w:bookmarkStart w:id="36" w:name="determining-standard-deviation-in-the-laboratory."/>
      <w:bookmarkEnd w:id="36"/>
      <w:r>
        <w:t xml:space="preserve">Determining Standard Deviation in the Laboratory.</w:t>
      </w:r>
    </w:p>
    <w:p>
      <w:pPr>
        <w:pStyle w:val="FirstParagraph"/>
      </w:pPr>
      <w:r>
        <w:t xml:space="preserve">Where a sample is tested multiple times, such as a control sample, the standard deviation is easily determined by the normal equation or by the function STDEV(range) in Excel.</w:t>
      </w:r>
    </w:p>
    <w:p>
      <w:pPr>
        <w:pStyle w:val="BodyText"/>
      </w:pPr>
      <w:r>
        <w:t xml:space="preserve">If you do not have access to multiple testing of a single sample, the standard deviation can be estimated from the difference of a series of duplicates.</w:t>
      </w:r>
    </w:p>
    <w:p>
      <w:pPr>
        <w:pStyle w:val="BodyText"/>
      </w:pPr>
      <w:r>
        <w:t xml:space="preserve">Note: The data needs to be of comparable matrices and comparable levels of analyte.</w:t>
      </w:r>
    </w:p>
    <w:p>
      <w:pPr>
        <w:pStyle w:val="BodyText"/>
      </w:pPr>
      <m:oMathPara>
        <m:oMathParaPr>
          <m:jc m:val="center"/>
        </m:oMathParaPr>
        <m:oMath>
          <m:r>
            <m:rPr/>
            <m:t>s</m:t>
          </m:r>
          <m:r>
            <m:rPr/>
            <m:t>d</m:t>
          </m:r>
          <m:r>
            <m:rPr/>
            <m:t>=</m:t>
          </m:r>
          <m:rad>
            <m:radPr>
              <m:degHide m:val="on"/>
            </m:radPr>
            <m:deg/>
            <m:e>
              <m:r>
                <m:rPr/>
                <m:t>(</m:t>
              </m:r>
            </m:e>
          </m:rad>
          <m:f>
            <m:fPr>
              <m:type m:val="bar"/>
            </m:fPr>
            <m:num>
              <m:sSup>
                <m:e>
                  <m:d>
                    <m:dPr>
                      <m:begChr m:val="("/>
                      <m:endChr m:val=")"/>
                      <m:grow/>
                    </m:dPr>
                    <m:e>
                      <m:sSub>
                        <m:e>
                          <m:r>
                            <m:rPr/>
                            <m:t>x</m:t>
                          </m:r>
                        </m:e>
                        <m:sub>
                          <m:r>
                            <m:rPr/>
                            <m:t>1</m:t>
                          </m:r>
                        </m:sub>
                      </m:sSub>
                      <m:r>
                        <m:rPr/>
                        <m:t>−</m:t>
                      </m:r>
                      <m:sSub>
                        <m:e>
                          <m:r>
                            <m:rPr/>
                            <m:t>x</m:t>
                          </m:r>
                        </m:e>
                        <m:sub>
                          <m:r>
                            <m:rPr/>
                            <m:t>2</m:t>
                          </m:r>
                        </m:sub>
                      </m:sSub>
                    </m:e>
                  </m:d>
                </m:e>
                <m:sup>
                  <m:r>
                    <m:rPr/>
                    <m:t>2</m:t>
                  </m:r>
                </m:sup>
              </m:sSup>
            </m:num>
            <m:den>
              <m:r>
                <m:rPr/>
                <m:t>2</m:t>
              </m:r>
              <m:r>
                <m:rPr/>
                <m:t>n</m:t>
              </m:r>
            </m:den>
          </m:f>
          <m:r>
            <m:rPr/>
            <m:t>)</m:t>
          </m:r>
        </m:oMath>
      </m:oMathPara>
    </w:p>
    <w:p>
      <w:pPr>
        <w:pStyle w:val="BodyText"/>
      </w:pPr>
      <w:r>
        <w:t xml:space="preserve">where x1 and x2 are the duplicates and n is the number of duplicate pairs.</w:t>
      </w:r>
    </w:p>
    <w:p>
      <w:pPr>
        <w:pStyle w:val="BodyText"/>
      </w:pPr>
      <w:r>
        <w:t xml:space="preserve">Repeatability standard deviation is determined from duplicates and reproducibility standard deviation is determined from retests.</w:t>
      </w:r>
    </w:p>
    <w:p>
      <w:pPr>
        <w:pStyle w:val="Heading3"/>
      </w:pPr>
      <w:bookmarkStart w:id="37" w:name="effect-size"/>
      <w:bookmarkEnd w:id="37"/>
      <w:r>
        <w:t xml:space="preserve">Effect Size</w:t>
      </w:r>
    </w:p>
    <w:p>
      <w:pPr>
        <w:pStyle w:val="FirstParagraph"/>
      </w:pPr>
      <w:r>
        <w:t xml:space="preserve">Calculate the effect size by subtracting the control group mean from the final group mean and dividing the result by the standard deviation of the control group. (Sometimes an arithmetic mean of the two sd’s is used.) The greater the effect, the greater the impact of the ‘treatment’. A result near zero indicates no effect.</w:t>
      </w:r>
    </w:p>
    <w:p>
      <w:pPr>
        <w:pStyle w:val="Heading2"/>
      </w:pPr>
      <w:bookmarkStart w:id="38" w:name="hypothesis-testing"/>
      <w:bookmarkEnd w:id="38"/>
      <w:r>
        <w:t xml:space="preserve">Hypothesis Testing</w:t>
      </w:r>
    </w:p>
    <w:p>
      <w:pPr>
        <w:pStyle w:val="FirstParagraph"/>
      </w:pPr>
      <w:r>
        <w:t xml:space="preserve">Hypothesis testing centers on the null hypothesis, Ho, that there has been no effect from the test or tests.</w:t>
      </w:r>
    </w:p>
    <w:p>
      <w:pPr>
        <w:pStyle w:val="Heading3"/>
      </w:pPr>
      <w:bookmarkStart w:id="39" w:name="type-i-and-type-ii-errors"/>
      <w:bookmarkEnd w:id="39"/>
      <w:r>
        <w:t xml:space="preserve">Type I and Type II errors</w:t>
      </w:r>
    </w:p>
    <w:p>
      <w:pPr>
        <w:pStyle w:val="FirstParagraph"/>
      </w:pPr>
      <w:r>
        <w:t xml:space="preserve">Type I error: the null hypothesis is rejected, even though it is true.</w:t>
      </w:r>
    </w:p>
    <w:p>
      <w:pPr>
        <w:pStyle w:val="BodyText"/>
      </w:pPr>
      <w:r>
        <w:t xml:space="preserve">Type II error: a null hypothesis is accepted, even though it is false.</w:t>
      </w:r>
    </w:p>
    <w:p>
      <w:pPr>
        <w:pStyle w:val="Heading3"/>
      </w:pPr>
      <w:bookmarkStart w:id="40" w:name="confidence-intervals"/>
      <w:bookmarkEnd w:id="40"/>
      <w:r>
        <w:t xml:space="preserve">Confidence Intervals</w:t>
      </w:r>
    </w:p>
    <w:p>
      <w:pPr>
        <w:pStyle w:val="FirstParagraph"/>
      </w:pPr>
      <w:r>
        <w:t xml:space="preserve">The most common metric for the significance of a statistical test is the p-value. Of equal importance, some say more importance, is to determine the confidence intervals around a result.</w:t>
      </w:r>
    </w:p>
    <w:p>
      <w:pPr>
        <w:pStyle w:val="Heading3"/>
      </w:pPr>
      <w:bookmarkStart w:id="41" w:name="duplicate-repeatability"/>
      <w:bookmarkEnd w:id="41"/>
      <w:r>
        <w:t xml:space="preserve">Duplicate Repeatability</w:t>
      </w:r>
    </w:p>
    <w:p>
      <w:pPr>
        <w:pStyle w:val="FirstParagraph"/>
      </w:pPr>
      <w:r>
        <w:t xml:space="preserve">Repeatability, in the laboratory sense, is how close you expect two duplicate results to be. Same sample, tested in duplicate, together.</w:t>
      </w:r>
    </w:p>
    <w:p>
      <w:pPr>
        <w:pStyle w:val="BodyText"/>
      </w:pPr>
      <m:oMathPara>
        <m:oMathParaPr>
          <m:jc m:val="center"/>
        </m:oMathParaPr>
        <m:oMath>
          <m:r>
            <m:rPr/>
            <m:t>r</m:t>
          </m:r>
          <m:r>
            <m:rPr/>
            <m:t>=</m:t>
          </m:r>
          <m:r>
            <m:rPr/>
            <m:t>2</m:t>
          </m:r>
          <m:r>
            <m:rPr/>
            <m:t>*</m:t>
          </m:r>
          <m:rad>
            <m:radPr>
              <m:degHide m:val="on"/>
            </m:radPr>
            <m:deg/>
            <m:e>
              <m:r>
                <m:rPr/>
                <m:t>(</m:t>
              </m:r>
            </m:e>
          </m:rad>
          <m:r>
            <m:rPr/>
            <m:t>2</m:t>
          </m:r>
          <m:r>
            <m:rPr/>
            <m:t>)</m:t>
          </m:r>
          <m:r>
            <m:rPr/>
            <m:t>*</m:t>
          </m:r>
          <m:sSub>
            <m:e>
              <m:r>
                <m:rPr/>
                <m:t>s</m:t>
              </m:r>
            </m:e>
            <m:sub>
              <m:r>
                <m:rPr/>
                <m:t>r</m:t>
              </m:r>
            </m:sub>
          </m:sSub>
        </m:oMath>
      </m:oMathPara>
    </w:p>
    <w:p>
      <w:pPr>
        <w:pStyle w:val="BodyText"/>
      </w:pPr>
      <w:r>
        <w:t xml:space="preserve">where sr = standard deviation for repeatability duplicates.</w:t>
      </w:r>
    </w:p>
    <w:p>
      <w:pPr>
        <w:pStyle w:val="Heading3"/>
      </w:pPr>
      <w:bookmarkStart w:id="42" w:name="interim-precision"/>
      <w:bookmarkEnd w:id="42"/>
      <w:r>
        <w:t xml:space="preserve">Interim Precision</w:t>
      </w:r>
    </w:p>
    <w:p>
      <w:pPr>
        <w:pStyle w:val="FirstParagraph"/>
      </w:pPr>
      <w:r>
        <w:t xml:space="preserve">Interim Precision means reproducibility, in the laboratory sense, and is how close you expect two replicate results to be. Same sample, different batches (and possibly days, analysts and instruments.</w:t>
      </w:r>
    </w:p>
    <w:p>
      <w:pPr>
        <w:pStyle w:val="BodyText"/>
      </w:pPr>
      <m:oMathPara>
        <m:oMathParaPr>
          <m:jc m:val="center"/>
        </m:oMathParaPr>
        <m:oMath>
          <m:r>
            <m:rPr/>
            <m:t>R</m:t>
          </m:r>
          <m:r>
            <m:rPr/>
            <m:t>=</m:t>
          </m:r>
          <m:r>
            <m:rPr/>
            <m:t>2</m:t>
          </m:r>
          <m:r>
            <m:rPr/>
            <m:t>*</m:t>
          </m:r>
          <m:rad>
            <m:radPr>
              <m:degHide m:val="on"/>
            </m:radPr>
            <m:deg/>
            <m:e>
              <m:r>
                <m:rPr/>
                <m:t>(</m:t>
              </m:r>
            </m:e>
          </m:rad>
          <m:r>
            <m:rPr/>
            <m:t>2</m:t>
          </m:r>
          <m:r>
            <m:rPr/>
            <m:t>)</m:t>
          </m:r>
          <m:r>
            <m:rPr/>
            <m:t>*</m:t>
          </m:r>
          <m:sSub>
            <m:e>
              <m:r>
                <m:rPr/>
                <m:t>s</m:t>
              </m:r>
            </m:e>
            <m:sub>
              <m:r>
                <m:rPr/>
                <m:t>R</m:t>
              </m:r>
            </m:sub>
          </m:sSub>
        </m:oMath>
      </m:oMathPara>
    </w:p>
    <w:p>
      <w:pPr>
        <w:pStyle w:val="BodyText"/>
      </w:pPr>
      <w:r>
        <w:t xml:space="preserve">where sR = standard deviation for replicates.</w:t>
      </w:r>
    </w:p>
    <w:p>
      <w:pPr>
        <w:pStyle w:val="BodyText"/>
      </w:pPr>
      <w:r>
        <w:t xml:space="preserve">True reproducibility is a sign of the variance that can be expected between laboratories and is reflected in proficiency programs.</w:t>
      </w:r>
    </w:p>
    <w:p>
      <w:pPr>
        <w:pStyle w:val="BodyText"/>
      </w:pPr>
      <w:r>
        <w:t xml:space="preserve">Reproducibility &gt; Interim Precision &gt; Repeatability.</w:t>
      </w:r>
    </w:p>
    <w:p>
      <w:pPr>
        <w:pStyle w:val="BodyText"/>
      </w:pPr>
      <w:r>
        <w:drawing>
          <wp:inline>
            <wp:extent cx="3852672" cy="2609088"/>
            <wp:effectExtent b="0" l="0" r="0" t="0"/>
            <wp:docPr descr="" id="1" name="Picture"/>
            <a:graphic>
              <a:graphicData uri="http://schemas.openxmlformats.org/drawingml/2006/picture">
                <pic:pic>
                  <pic:nvPicPr>
                    <pic:cNvPr descr="/Users/Study%20Old/Documents/GitHub/Chemistry_Stats/figures/Critical_ranges.png" id="0" name="Picture"/>
                    <pic:cNvPicPr>
                      <a:picLocks noChangeArrowheads="1" noChangeAspect="1"/>
                    </pic:cNvPicPr>
                  </pic:nvPicPr>
                  <pic:blipFill>
                    <a:blip r:embed="rId43"/>
                    <a:stretch>
                      <a:fillRect/>
                    </a:stretch>
                  </pic:blipFill>
                  <pic:spPr bwMode="auto">
                    <a:xfrm>
                      <a:off x="0" y="0"/>
                      <a:ext cx="3852672" cy="2609088"/>
                    </a:xfrm>
                    <a:prstGeom prst="rect">
                      <a:avLst/>
                    </a:prstGeom>
                    <a:noFill/>
                    <a:ln w="9525">
                      <a:noFill/>
                      <a:headEnd/>
                      <a:tailEnd/>
                    </a:ln>
                  </pic:spPr>
                </pic:pic>
              </a:graphicData>
            </a:graphic>
          </wp:inline>
        </w:drawing>
      </w:r>
    </w:p>
    <w:p>
      <w:pPr>
        <w:pStyle w:val="Heading3"/>
      </w:pPr>
      <w:bookmarkStart w:id="44" w:name="horwitzs-trumpet"/>
      <w:bookmarkEnd w:id="44"/>
      <w:r>
        <w:t xml:space="preserve">Horwitz’s Trumpet</w:t>
      </w:r>
    </w:p>
    <w:p>
      <w:pPr>
        <w:pStyle w:val="FirstParagraph"/>
      </w:pPr>
      <w:r>
        <w:t xml:space="preserve">Dr William Horwitz looked at the relative standard deviation for several thousand proficiency programs and found that there was a relationship between the level of analyte being determined and the relative standard deviation of the results of the participating laboratories. He could then predict the RSD of another progam.</w:t>
      </w:r>
    </w:p>
    <w:p>
      <w:pPr>
        <w:pStyle w:val="BodyText"/>
      </w:pPr>
      <m:oMathPara>
        <m:oMathParaPr>
          <m:jc m:val="center"/>
        </m:oMathParaPr>
        <m:oMath>
          <m:r>
            <m:rPr/>
            <m:t>P</m:t>
          </m:r>
          <m:r>
            <m:rPr/>
            <m:t>r</m:t>
          </m:r>
          <m:r>
            <m:rPr/>
            <m:t>e</m:t>
          </m:r>
          <m:r>
            <m:rPr/>
            <m:t>d</m:t>
          </m:r>
          <m:r>
            <m:rPr/>
            <m:t>i</m:t>
          </m:r>
          <m:r>
            <m:rPr/>
            <m:t>c</m:t>
          </m:r>
          <m:r>
            <m:rPr/>
            <m:t>t</m:t>
          </m:r>
          <m:r>
            <m:rPr/>
            <m:t>e</m:t>
          </m:r>
          <m:r>
            <m:rPr/>
            <m:t>d</m:t>
          </m:r>
          <m:r>
            <m:rPr/>
            <m:t>R</m:t>
          </m:r>
          <m:r>
            <m:rPr/>
            <m:t>S</m:t>
          </m:r>
          <m:r>
            <m:rPr/>
            <m:t>D</m:t>
          </m:r>
          <m:r>
            <m:rPr/>
            <m:t>=</m:t>
          </m:r>
          <m:r>
            <m:rPr/>
            <m:t>2</m:t>
          </m:r>
          <m:r>
            <m:rPr/>
            <m:t>*</m:t>
          </m:r>
          <m:sSup>
            <m:e>
              <m:r>
                <m:rPr/>
                <m:t>c</m:t>
              </m:r>
            </m:e>
            <m:sup>
              <m:d>
                <m:dPr>
                  <m:begChr m:val="("/>
                  <m:endChr m:val=")"/>
                  <m:grow/>
                </m:dPr>
                <m:e>
                  <m:r>
                    <m:rPr/>
                    <m:t>−</m:t>
                  </m:r>
                  <m:r>
                    <m:rPr/>
                    <m:t>0.1505</m:t>
                  </m:r>
                </m:e>
              </m:d>
            </m:sup>
          </m:sSup>
        </m:oMath>
      </m:oMathPara>
    </w:p>
    <w:p>
      <w:pPr>
        <w:pStyle w:val="BodyText"/>
      </w:pPr>
      <w:r>
        <w:t xml:space="preserve">where c is the concentration of analyte, expressed in g/g. (eg 1 mg/kg = 0.000001g/g)</w:t>
      </w:r>
    </w:p>
    <w:p>
      <w:pPr>
        <w:pStyle w:val="BodyText"/>
      </w:pPr>
      <w:r>
        <w:t xml:space="preserve">A Horrat Value is the ratio of a proficiency program’s RSD to Horwitz’s predicted value.</w:t>
      </w:r>
    </w:p>
    <w:p>
      <w:pPr>
        <w:pStyle w:val="BodyText"/>
      </w:pPr>
      <w:r>
        <w:drawing>
          <wp:inline>
            <wp:extent cx="5279136" cy="3584448"/>
            <wp:effectExtent b="0" l="0" r="0" t="0"/>
            <wp:docPr descr="" id="1" name="Picture"/>
            <a:graphic>
              <a:graphicData uri="http://schemas.openxmlformats.org/drawingml/2006/picture">
                <pic:pic>
                  <pic:nvPicPr>
                    <pic:cNvPr descr="/Users/Study%20Old/Documents/GitHub/Chemistry_Stats/figures/horwitz.png" id="0" name="Picture"/>
                    <pic:cNvPicPr>
                      <a:picLocks noChangeArrowheads="1" noChangeAspect="1"/>
                    </pic:cNvPicPr>
                  </pic:nvPicPr>
                  <pic:blipFill>
                    <a:blip r:embed="rId45"/>
                    <a:stretch>
                      <a:fillRect/>
                    </a:stretch>
                  </pic:blipFill>
                  <pic:spPr bwMode="auto">
                    <a:xfrm>
                      <a:off x="0" y="0"/>
                      <a:ext cx="5279136" cy="3584448"/>
                    </a:xfrm>
                    <a:prstGeom prst="rect">
                      <a:avLst/>
                    </a:prstGeom>
                    <a:noFill/>
                    <a:ln w="9525">
                      <a:noFill/>
                      <a:headEnd/>
                      <a:tailEnd/>
                    </a:ln>
                  </pic:spPr>
                </pic:pic>
              </a:graphicData>
            </a:graphic>
          </wp:inline>
        </w:drawing>
      </w:r>
    </w:p>
    <w:p>
      <w:pPr>
        <w:pStyle w:val="Heading3"/>
      </w:pPr>
      <w:bookmarkStart w:id="46" w:name="robust-statistics"/>
      <w:bookmarkEnd w:id="46"/>
      <w:r>
        <w:t xml:space="preserve">Robust Statistics</w:t>
      </w:r>
    </w:p>
    <w:p>
      <w:pPr>
        <w:pStyle w:val="FirstParagraph"/>
      </w:pPr>
      <w:r>
        <w:t xml:space="preserve">Robust statistics are not influenced markedly by outliers or extreme results. For example the median will remain unchanged if one result is extreme where the mean can be dramatically affected.</w:t>
      </w:r>
    </w:p>
    <w:p>
      <w:pPr>
        <w:pStyle w:val="BodyText"/>
      </w:pPr>
      <w:r>
        <w:t xml:space="preserve">Proficiency programs, such as Global Proficiency, use robust statistics because the participation group is often so small.</w:t>
      </w:r>
    </w:p>
    <w:p>
      <w:pPr>
        <w:pStyle w:val="BodyText"/>
      </w:pPr>
      <w:r>
        <w:drawing>
          <wp:inline>
            <wp:extent cx="5279136" cy="5486400"/>
            <wp:effectExtent b="0" l="0" r="0" t="0"/>
            <wp:docPr descr="" id="1" name="Picture"/>
            <a:graphic>
              <a:graphicData uri="http://schemas.openxmlformats.org/drawingml/2006/picture">
                <pic:pic>
                  <pic:nvPicPr>
                    <pic:cNvPr descr="/Users/Study%20Old/Documents/GitHub/Chemistry_Stats/figures/robust.png" id="0" name="Picture"/>
                    <pic:cNvPicPr>
                      <a:picLocks noChangeArrowheads="1" noChangeAspect="1"/>
                    </pic:cNvPicPr>
                  </pic:nvPicPr>
                  <pic:blipFill>
                    <a:blip r:embed="rId47"/>
                    <a:stretch>
                      <a:fillRect/>
                    </a:stretch>
                  </pic:blipFill>
                  <pic:spPr bwMode="auto">
                    <a:xfrm>
                      <a:off x="0" y="0"/>
                      <a:ext cx="5279136" cy="5486400"/>
                    </a:xfrm>
                    <a:prstGeom prst="rect">
                      <a:avLst/>
                    </a:prstGeom>
                    <a:noFill/>
                    <a:ln w="9525">
                      <a:noFill/>
                      <a:headEnd/>
                      <a:tailEnd/>
                    </a:ln>
                  </pic:spPr>
                </pic:pic>
              </a:graphicData>
            </a:graphic>
          </wp:inline>
        </w:drawing>
      </w:r>
    </w:p>
    <w:p>
      <w:pPr>
        <w:pStyle w:val="Heading3"/>
      </w:pPr>
      <w:bookmarkStart w:id="48" w:name="outliers"/>
      <w:bookmarkEnd w:id="48"/>
      <w:r>
        <w:t xml:space="preserve">Outliers</w:t>
      </w:r>
    </w:p>
    <w:p>
      <w:pPr>
        <w:pStyle w:val="Heading3"/>
      </w:pPr>
      <w:bookmarkStart w:id="49" w:name="robust-statistics-1"/>
      <w:bookmarkEnd w:id="49"/>
      <w:r>
        <w:t xml:space="preserve">Robust Statistics</w:t>
      </w:r>
    </w:p>
    <w:p>
      <w:pPr>
        <w:pStyle w:val="Heading2"/>
      </w:pPr>
      <w:bookmarkStart w:id="50" w:name="iqr-etc"/>
      <w:bookmarkEnd w:id="50"/>
      <w:r>
        <w:t xml:space="preserve">IQR etc</w:t>
      </w:r>
    </w:p>
    <w:p>
      <w:pPr>
        <w:pStyle w:val="FirstParagraph"/>
      </w:pPr>
      <w:r>
        <w:t xml:space="preserve">sd ~ 0.7413 x IQR</w:t>
      </w:r>
    </w:p>
    <w:p>
      <w:pPr>
        <w:pStyle w:val="BodyText"/>
      </w:pPr>
      <w:r>
        <w:t xml:space="preserve">where IQR is the interquartile range of the sample, is a consistent estimate of σ if the population is normally distributed. The interquartile range IQR is the difference of the 3rd quartile of the data and the 1st quartile of the data. The asymptotic relative efficiency (ARE) of this estimator with respect to the one from sample standard deviation is 0.37. Hence, for normal data, it is better to use the one from sample standard deviation; when data is with thicker tails, this estimator can be more efficient.</w:t>
      </w:r>
    </w:p>
    <w:p>
      <w:pPr>
        <w:pStyle w:val="Heading3"/>
      </w:pPr>
      <w:bookmarkStart w:id="51" w:name="robust-z-score"/>
      <w:bookmarkEnd w:id="51"/>
      <w:r>
        <w:t xml:space="preserve">Robust z score</w:t>
      </w:r>
    </w:p>
    <w:p>
      <w:pPr>
        <w:pStyle w:val="FirstParagraph"/>
      </w:pPr>
      <w:r>
        <w:t xml:space="preserve">Robust z= (Result-Median)/(0.7413×IQR)</w:t>
      </w:r>
    </w:p>
    <w:p>
      <w:pPr>
        <w:pStyle w:val="Heading3"/>
      </w:pPr>
      <w:bookmarkStart w:id="52" w:name="standard-difference"/>
      <w:bookmarkEnd w:id="52"/>
      <w:r>
        <w:t xml:space="preserve">Standard Difference</w:t>
      </w:r>
    </w:p>
    <w:p>
      <w:pPr>
        <w:pStyle w:val="FirstParagraph"/>
      </w:pPr>
      <w:r>
        <w:t xml:space="preserve">Std Diff= (Result-Median)/Limit</w:t>
      </w:r>
    </w:p>
    <w:p>
      <w:pPr>
        <w:pStyle w:val="BodyText"/>
      </w:pPr>
      <w:r>
        <w:t xml:space="preserve">Conceptually, a standard difference is similar to a z-score.</w:t>
      </w:r>
    </w:p>
    <w:p>
      <w:pPr>
        <w:pStyle w:val="BodyText"/>
      </w:pPr>
      <w:r>
        <w:t xml:space="preserve">The value for the limit is an agreed value for the test. It is, in effect, a pooled standard deviation for the test and most useful when only a few laboratories are participating in a program.</w:t>
      </w:r>
    </w:p>
    <w:p>
      <w:pPr>
        <w:pStyle w:val="Heading3"/>
      </w:pPr>
      <w:bookmarkStart w:id="53" w:name="students-t-test"/>
      <w:bookmarkEnd w:id="53"/>
      <w:r>
        <w:t xml:space="preserve">Student's t Test</w:t>
      </w:r>
    </w:p>
    <w:p>
      <w:pPr>
        <w:pStyle w:val="FirstParagraph"/>
      </w:pPr>
      <m:oMathPara>
        <m:oMathParaPr>
          <m:jc m:val="center"/>
        </m:oMathParaPr>
        <m:oMath>
          <m:r>
            <m:rPr/>
            <m:t>t</m:t>
          </m:r>
          <m:r>
            <m:rPr/>
            <m:t>=</m:t>
          </m:r>
          <m:f>
            <m:fPr>
              <m:type m:val="bar"/>
            </m:fPr>
            <m:num>
              <m:d>
                <m:dPr>
                  <m:begChr m:val="("/>
                  <m:endChr m:val=")"/>
                  <m:grow/>
                </m:dPr>
                <m:e>
                  <m:r>
                    <m:rPr/>
                    <m:t>x</m:t>
                  </m:r>
                  <m:r>
                    <m:rPr/>
                    <m:t>−</m:t>
                  </m:r>
                  <m:bar>
                    <m:barPr>
                      <m:pos m:val="top"/>
                    </m:barPr>
                    <m:e>
                      <m:r>
                        <m:rPr/>
                        <m:t>x</m:t>
                      </m:r>
                    </m:e>
                  </m:bar>
                </m:e>
              </m:d>
            </m:num>
            <m:den>
              <m:f>
                <m:fPr>
                  <m:type m:val="bar"/>
                </m:fPr>
                <m:num>
                  <m:r>
                    <m:rPr/>
                    <m:t>s</m:t>
                  </m:r>
                  <m:r>
                    <m:rPr/>
                    <m:t>d</m:t>
                  </m:r>
                </m:num>
                <m:den>
                  <m:rad>
                    <m:radPr>
                      <m:degHide m:val="on"/>
                    </m:radPr>
                    <m:deg/>
                    <m:e>
                      <m:r>
                        <m:rPr/>
                        <m:t>n</m:t>
                      </m:r>
                    </m:e>
                  </m:rad>
                </m:den>
              </m:f>
            </m:den>
          </m:f>
        </m:oMath>
      </m:oMathPara>
    </w:p>
    <w:p>
      <w:pPr>
        <w:pStyle w:val="BodyText"/>
      </w:pPr>
      <w:r>
        <w:t xml:space="preserve">The data:</w:t>
      </w:r>
    </w:p>
    <w:p>
      <w:pPr>
        <w:pStyle w:val="SourceCode"/>
      </w:pPr>
      <w:r>
        <w:rPr>
          <w:rStyle w:val="VerbatimChar"/>
        </w:rPr>
        <w:t xml:space="preserve">##       A     B</w:t>
      </w:r>
      <w:r>
        <w:br w:type="textWrapping"/>
      </w:r>
      <w:r>
        <w:rPr>
          <w:rStyle w:val="VerbatimChar"/>
        </w:rPr>
        <w:t xml:space="preserve">## 1 88.25 88.32</w:t>
      </w:r>
      <w:r>
        <w:br w:type="textWrapping"/>
      </w:r>
      <w:r>
        <w:rPr>
          <w:rStyle w:val="VerbatimChar"/>
        </w:rPr>
        <w:t xml:space="preserve">## 2 88.27 88.31</w:t>
      </w:r>
      <w:r>
        <w:br w:type="textWrapping"/>
      </w:r>
      <w:r>
        <w:rPr>
          <w:rStyle w:val="VerbatimChar"/>
        </w:rPr>
        <w:t xml:space="preserve">## 3 88.14 88.26</w:t>
      </w:r>
      <w:r>
        <w:br w:type="textWrapping"/>
      </w:r>
      <w:r>
        <w:rPr>
          <w:rStyle w:val="VerbatimChar"/>
        </w:rPr>
        <w:t xml:space="preserve">## 4 88.16 88.29</w:t>
      </w:r>
      <w:r>
        <w:br w:type="textWrapping"/>
      </w:r>
      <w:r>
        <w:rPr>
          <w:rStyle w:val="VerbatimChar"/>
        </w:rPr>
        <w:t xml:space="preserve">## 5 88.15 88.10</w:t>
      </w:r>
      <w:r>
        <w:br w:type="textWrapping"/>
      </w:r>
      <w:r>
        <w:rPr>
          <w:rStyle w:val="VerbatimChar"/>
        </w:rPr>
        <w:t xml:space="preserve">## 6 88.15 88.24</w:t>
      </w:r>
    </w:p>
    <w:p>
      <w:pPr>
        <w:pStyle w:val="SourceCode"/>
      </w:pPr>
      <w:r>
        <w:rPr>
          <w:rStyle w:val="NormalTok"/>
        </w:rPr>
        <w:t xml:space="preserve">t1 &lt;-</w:t>
      </w:r>
      <w:r>
        <w:rPr>
          <w:rStyle w:val="StringTok"/>
        </w:rPr>
        <w:t xml:space="preserve"> </w:t>
      </w:r>
      <w:r>
        <w:rPr>
          <w:rStyle w:val="NormalTok"/>
        </w:rPr>
        <w:t xml:space="preserve">data.in$A</w:t>
      </w:r>
      <w:r>
        <w:br w:type="textWrapping"/>
      </w:r>
      <w:r>
        <w:rPr>
          <w:rStyle w:val="NormalTok"/>
        </w:rPr>
        <w:t xml:space="preserve">t2 &lt;-</w:t>
      </w:r>
      <w:r>
        <w:rPr>
          <w:rStyle w:val="StringTok"/>
        </w:rPr>
        <w:t xml:space="preserve"> </w:t>
      </w:r>
      <w:r>
        <w:rPr>
          <w:rStyle w:val="NormalTok"/>
        </w:rPr>
        <w:t xml:space="preserve">data.in$B</w:t>
      </w:r>
      <w:r>
        <w:br w:type="textWrapping"/>
      </w:r>
      <w:r>
        <w:br w:type="textWrapping"/>
      </w:r>
      <w:r>
        <w:rPr>
          <w:rStyle w:val="KeywordTok"/>
        </w:rPr>
        <w:t xml:space="preserve">boxplot</w:t>
      </w:r>
      <w:r>
        <w:rPr>
          <w:rStyle w:val="NormalTok"/>
        </w:rPr>
        <w:t xml:space="preserve">(t1, t2)</w:t>
      </w:r>
    </w:p>
    <w:p>
      <w:pPr>
        <w:pStyle w:val="FirstParagraph"/>
      </w:pPr>
      <w:r>
        <w:drawing>
          <wp:inline>
            <wp:extent cx="5334000" cy="4267200"/>
            <wp:effectExtent b="0" l="0" r="0" t="0"/>
            <wp:docPr descr="" id="1" name="Picture"/>
            <a:graphic>
              <a:graphicData uri="http://schemas.openxmlformats.org/drawingml/2006/picture">
                <pic:pic>
                  <pic:nvPicPr>
                    <pic:cNvPr descr="Chemistry_Statistics_files/figure-docx/unnamed-chunk-6-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(data.in)</w:t>
      </w:r>
    </w:p>
    <w:p>
      <w:pPr>
        <w:pStyle w:val="SourceCode"/>
      </w:pPr>
      <w:r>
        <w:rPr>
          <w:rStyle w:val="VerbatimChar"/>
        </w:rPr>
        <w:t xml:space="preserve">##        A               B        </w:t>
      </w:r>
      <w:r>
        <w:br w:type="textWrapping"/>
      </w:r>
      <w:r>
        <w:rPr>
          <w:rStyle w:val="VerbatimChar"/>
        </w:rPr>
        <w:t xml:space="preserve">##  Min.   :88.14   Min.   :88.10  </w:t>
      </w:r>
      <w:r>
        <w:br w:type="textWrapping"/>
      </w:r>
      <w:r>
        <w:rPr>
          <w:rStyle w:val="VerbatimChar"/>
        </w:rPr>
        <w:t xml:space="preserve">##  1st Qu.:88.15   1st Qu.:88.25  </w:t>
      </w:r>
      <w:r>
        <w:br w:type="textWrapping"/>
      </w:r>
      <w:r>
        <w:rPr>
          <w:rStyle w:val="VerbatimChar"/>
        </w:rPr>
        <w:t xml:space="preserve">##  Median :88.16   Median :88.28  </w:t>
      </w:r>
      <w:r>
        <w:br w:type="textWrapping"/>
      </w:r>
      <w:r>
        <w:rPr>
          <w:rStyle w:val="VerbatimChar"/>
        </w:rPr>
        <w:t xml:space="preserve">##  Mean   :88.19   Mean   :88.25  </w:t>
      </w:r>
      <w:r>
        <w:br w:type="textWrapping"/>
      </w:r>
      <w:r>
        <w:rPr>
          <w:rStyle w:val="VerbatimChar"/>
        </w:rPr>
        <w:t xml:space="preserve">##  3rd Qu.:88.23   3rd Qu.:88.31  </w:t>
      </w:r>
      <w:r>
        <w:br w:type="textWrapping"/>
      </w:r>
      <w:r>
        <w:rPr>
          <w:rStyle w:val="VerbatimChar"/>
        </w:rPr>
        <w:t xml:space="preserve">##  Max.   :88.27   Max.   :88.32</w:t>
      </w:r>
    </w:p>
    <w:p>
      <w:pPr>
        <w:pStyle w:val="SourceCode"/>
      </w:pPr>
      <w:r>
        <w:rPr>
          <w:rStyle w:val="KeywordTok"/>
        </w:rPr>
        <w:t xml:space="preserve">t.test</w:t>
      </w:r>
      <w:r>
        <w:rPr>
          <w:rStyle w:val="NormalTok"/>
        </w:rPr>
        <w:t xml:space="preserve">(t2, t1, </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t2 and t1</w:t>
      </w:r>
      <w:r>
        <w:br w:type="textWrapping"/>
      </w:r>
      <w:r>
        <w:rPr>
          <w:rStyle w:val="VerbatimChar"/>
        </w:rPr>
        <w:t xml:space="preserve">## t = 2.4769, df = 5, p-value = 0.05605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-0.002521843  0.135855177</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0.06666667</w:t>
      </w:r>
    </w:p>
    <w:p>
      <w:pPr>
        <w:pStyle w:val="FirstParagraph"/>
      </w:pPr>
      <w:r>
        <w:t xml:space="preserve">The p-value is (just) greater than 0.05 so we are not able to say that the two sets are different. But it is borderline.</w:t>
      </w:r>
    </w:p>
    <w:p>
      <w:pPr>
        <w:pStyle w:val="BodyText"/>
      </w:pPr>
      <w:r>
        <w:t xml:space="preserve">Note the outlier (circle) in set 2.</w:t>
      </w:r>
    </w:p>
    <w:p>
      <w:pPr>
        <w:pStyle w:val="BodyText"/>
      </w:pPr>
      <w:r>
        <w:t xml:space="preserve">Conceptually, a t-test is identical to a signal to noise ratio.</w:t>
      </w:r>
    </w:p>
    <w:p>
      <w:pPr>
        <w:pStyle w:val="Heading3"/>
      </w:pPr>
      <w:bookmarkStart w:id="55" w:name="anova"/>
      <w:bookmarkEnd w:id="55"/>
      <w:r>
        <w:t xml:space="preserve">ANOVA</w:t>
      </w:r>
    </w:p>
    <w:p>
      <w:pPr>
        <w:pStyle w:val="FirstParagraph"/>
      </w:pPr>
      <w:r>
        <w:t xml:space="preserve">If you need to compare more than one mean, you use ANOVA.</w:t>
      </w:r>
    </w:p>
    <w:p>
      <w:pPr>
        <w:pStyle w:val="SourceCode"/>
      </w:pPr>
      <w:r>
        <w:rPr>
          <w:rStyle w:val="VerbatimChar"/>
        </w:rPr>
        <w:t xml:space="preserve">##        A     B     C     D</w:t>
      </w:r>
      <w:r>
        <w:br w:type="textWrapping"/>
      </w:r>
      <w:r>
        <w:rPr>
          <w:rStyle w:val="VerbatimChar"/>
        </w:rPr>
        <w:t xml:space="preserve">## 1  52.92 52.37 55.45 53.89</w:t>
      </w:r>
      <w:r>
        <w:br w:type="textWrapping"/>
      </w:r>
      <w:r>
        <w:rPr>
          <w:rStyle w:val="VerbatimChar"/>
        </w:rPr>
        <w:t xml:space="preserve">## 2  52.24 51.19 51.23 50.72</w:t>
      </w:r>
      <w:r>
        <w:br w:type="textWrapping"/>
      </w:r>
      <w:r>
        <w:rPr>
          <w:rStyle w:val="VerbatimChar"/>
        </w:rPr>
        <w:t xml:space="preserve">## 3  53.90 51.54 52.34 54.52</w:t>
      </w:r>
      <w:r>
        <w:br w:type="textWrapping"/>
      </w:r>
      <w:r>
        <w:rPr>
          <w:rStyle w:val="VerbatimChar"/>
        </w:rPr>
        <w:t xml:space="preserve">## 4  53.89 53.58 51.11 52.48</w:t>
      </w:r>
      <w:r>
        <w:br w:type="textWrapping"/>
      </w:r>
      <w:r>
        <w:rPr>
          <w:rStyle w:val="VerbatimChar"/>
        </w:rPr>
        <w:t xml:space="preserve">## 5  53.99 53.68 54.44 51.81</w:t>
      </w:r>
      <w:r>
        <w:br w:type="textWrapping"/>
      </w:r>
      <w:r>
        <w:rPr>
          <w:rStyle w:val="VerbatimChar"/>
        </w:rPr>
        <w:t xml:space="preserve">## 6  55.01 50.18 53.85 52.68</w:t>
      </w:r>
      <w:r>
        <w:br w:type="textWrapping"/>
      </w:r>
      <w:r>
        <w:rPr>
          <w:rStyle w:val="VerbatimChar"/>
        </w:rPr>
        <w:t xml:space="preserve">## 7  53.54 53.51 52.47 53.35</w:t>
      </w:r>
      <w:r>
        <w:br w:type="textWrapping"/>
      </w:r>
      <w:r>
        <w:rPr>
          <w:rStyle w:val="VerbatimChar"/>
        </w:rPr>
        <w:t xml:space="preserve">## 8  56.16 52.26 52.88 52.68</w:t>
      </w:r>
      <w:r>
        <w:br w:type="textWrapping"/>
      </w:r>
      <w:r>
        <w:rPr>
          <w:rStyle w:val="VerbatimChar"/>
        </w:rPr>
        <w:t xml:space="preserve">## 9  54.36 51.42 52.89 52.09</w:t>
      </w:r>
      <w:r>
        <w:br w:type="textWrapping"/>
      </w:r>
      <w:r>
        <w:rPr>
          <w:rStyle w:val="VerbatimChar"/>
        </w:rPr>
        <w:t xml:space="preserve">## 10 55.07 51.95 51.62 54.52</w:t>
      </w:r>
    </w:p>
    <w:p>
      <w:pPr>
        <w:pStyle w:val="SourceCode"/>
      </w:pPr>
      <w:r>
        <w:rPr>
          <w:rStyle w:val="VerbatimChar"/>
        </w:rPr>
        <w:t xml:space="preserve">##        A               B               C               D        </w:t>
      </w:r>
      <w:r>
        <w:br w:type="textWrapping"/>
      </w:r>
      <w:r>
        <w:rPr>
          <w:rStyle w:val="VerbatimChar"/>
        </w:rPr>
        <w:t xml:space="preserve">##  Min.   :52.24   Min.   :50.18   Min.   :51.11   Min.   :50.72  </w:t>
      </w:r>
      <w:r>
        <w:br w:type="textWrapping"/>
      </w:r>
      <w:r>
        <w:rPr>
          <w:rStyle w:val="VerbatimChar"/>
        </w:rPr>
        <w:t xml:space="preserve">##  1st Qu.:53.63   1st Qu.:51.45   1st Qu.:51.80   1st Qu.:52.19  </w:t>
      </w:r>
      <w:r>
        <w:br w:type="textWrapping"/>
      </w:r>
      <w:r>
        <w:rPr>
          <w:rStyle w:val="VerbatimChar"/>
        </w:rPr>
        <w:t xml:space="preserve">##  Median :53.95   Median :52.10   Median :52.67   Median :52.68  </w:t>
      </w:r>
      <w:r>
        <w:br w:type="textWrapping"/>
      </w:r>
      <w:r>
        <w:rPr>
          <w:rStyle w:val="VerbatimChar"/>
        </w:rPr>
        <w:t xml:space="preserve">##  Mean   :54.11   Mean   :52.17   Mean   :52.83   Mean   :52.87  </w:t>
      </w:r>
      <w:r>
        <w:br w:type="textWrapping"/>
      </w:r>
      <w:r>
        <w:rPr>
          <w:rStyle w:val="VerbatimChar"/>
        </w:rPr>
        <w:t xml:space="preserve">##  3rd Qu.:54.85   3rd Qu.:53.23   3rd Qu.:53.61   3rd Qu.:53.76  </w:t>
      </w:r>
      <w:r>
        <w:br w:type="textWrapping"/>
      </w:r>
      <w:r>
        <w:rPr>
          <w:rStyle w:val="VerbatimChar"/>
        </w:rPr>
        <w:t xml:space="preserve">##  Max.   :56.16   Max.   :53.68   Max.   :55.45   Max.   :54.52</w:t>
      </w:r>
    </w:p>
    <w:p>
      <w:pPr>
        <w:pStyle w:val="SourceCode"/>
      </w:pPr>
      <w:r>
        <w:rPr>
          <w:rStyle w:val="KeywordTok"/>
        </w:rPr>
        <w:t xml:space="preserve">boxplot</w:t>
      </w:r>
      <w:r>
        <w:rPr>
          <w:rStyle w:val="NormalTok"/>
        </w:rPr>
        <w:t xml:space="preserve">(data.in3)</w:t>
      </w:r>
    </w:p>
    <w:p>
      <w:pPr>
        <w:pStyle w:val="FirstParagraph"/>
      </w:pPr>
      <w:r>
        <w:drawing>
          <wp:inline>
            <wp:extent cx="5334000" cy="4267200"/>
            <wp:effectExtent b="0" l="0" r="0" t="0"/>
            <wp:docPr descr="" id="1" name="Picture"/>
            <a:graphic>
              <a:graphicData uri="http://schemas.openxmlformats.org/drawingml/2006/picture">
                <pic:pic>
                  <pic:nvPicPr>
                    <pic:cNvPr descr="Chemistry_Statistics_files/figure-docx/unnamed-chunk-8-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data_st &lt;-</w:t>
      </w:r>
      <w:r>
        <w:rPr>
          <w:rStyle w:val="StringTok"/>
        </w:rPr>
        <w:t xml:space="preserve"> </w:t>
      </w:r>
      <w:r>
        <w:rPr>
          <w:rStyle w:val="KeywordTok"/>
        </w:rPr>
        <w:t xml:space="preserve">stack</w:t>
      </w:r>
      <w:r>
        <w:rPr>
          <w:rStyle w:val="NormalTok"/>
        </w:rPr>
        <w:t xml:space="preserve">(data.in3)</w:t>
      </w:r>
      <w:r>
        <w:br w:type="textWrapping"/>
      </w:r>
      <w:r>
        <w:br w:type="textWrapping"/>
      </w:r>
      <w:r>
        <w:rPr>
          <w:rStyle w:val="NormalTok"/>
        </w:rPr>
        <w:t xml:space="preserve">anova_x &lt;-</w:t>
      </w:r>
      <w:r>
        <w:rPr>
          <w:rStyle w:val="StringTok"/>
        </w:rPr>
        <w:t xml:space="preserve"> </w:t>
      </w:r>
      <w:r>
        <w:rPr>
          <w:rStyle w:val="KeywordTok"/>
        </w:rPr>
        <w:t xml:space="preserve">aov</w:t>
      </w:r>
      <w:r>
        <w:rPr>
          <w:rStyle w:val="NormalTok"/>
        </w:rPr>
        <w:t xml:space="preserve">(values~ind, </w:t>
      </w:r>
      <w:r>
        <w:rPr>
          <w:rStyle w:val="DataTypeTok"/>
        </w:rPr>
        <w:t xml:space="preserve">data=</w:t>
      </w:r>
      <w:r>
        <w:rPr>
          <w:rStyle w:val="NormalTok"/>
        </w:rPr>
        <w:t xml:space="preserve">data_st)</w:t>
      </w:r>
      <w:r>
        <w:br w:type="textWrapping"/>
      </w:r>
      <w:r>
        <w:rPr>
          <w:rStyle w:val="KeywordTok"/>
        </w:rPr>
        <w:t xml:space="preserve">summary</w:t>
      </w:r>
      <w:r>
        <w:rPr>
          <w:rStyle w:val="NormalTok"/>
        </w:rPr>
        <w:t xml:space="preserve">(anova_x)</w:t>
      </w:r>
    </w:p>
    <w:p>
      <w:pPr>
        <w:pStyle w:val="SourceCode"/>
      </w:pPr>
      <w:r>
        <w:rPr>
          <w:rStyle w:val="VerbatimChar"/>
        </w:rPr>
        <w:t xml:space="preserve">##             Df Sum Sq Mean Sq F value Pr(&gt;F)  </w:t>
      </w:r>
      <w:r>
        <w:br w:type="textWrapping"/>
      </w:r>
      <w:r>
        <w:rPr>
          <w:rStyle w:val="VerbatimChar"/>
        </w:rPr>
        <w:t xml:space="preserve">## ind          3  19.65   6.551   4.325 0.0106 *</w:t>
      </w:r>
      <w:r>
        <w:br w:type="textWrapping"/>
      </w:r>
      <w:r>
        <w:rPr>
          <w:rStyle w:val="VerbatimChar"/>
        </w:rPr>
        <w:t xml:space="preserve">## Residuals   36  54.53   1.515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'ind' MS figure represents the between groups variance; the Residuals is the within groups.</w:t>
      </w:r>
    </w:p>
    <w:p>
      <w:pPr>
        <w:pStyle w:val="Heading2"/>
      </w:pPr>
      <w:bookmarkStart w:id="57" w:name="tukey-hsd-test"/>
      <w:bookmarkEnd w:id="57"/>
      <w:r>
        <w:t xml:space="preserve">Tukey HSD test</w:t>
      </w:r>
    </w:p>
    <w:p>
      <w:pPr>
        <w:pStyle w:val="FirstParagraph"/>
      </w:pPr>
      <w:r>
        <w:t xml:space="preserve">The Tukey HSD test assesses the differences between data sets. The ANOVA table has a p-value of 0.0106 indicating that the means are not all the same but it is Tukey who tells you which ones are different. From the following table, only the A-B comparison is significant (p-value = 0.0062).</w:t>
      </w:r>
    </w:p>
    <w:p>
      <w:pPr>
        <w:pStyle w:val="SourceCode"/>
      </w:pPr>
      <w:r>
        <w:rPr>
          <w:rStyle w:val="KeywordTok"/>
        </w:rPr>
        <w:t xml:space="preserve">TukeyHSD</w:t>
      </w:r>
      <w:r>
        <w:rPr>
          <w:rStyle w:val="NormalTok"/>
        </w:rPr>
        <w:t xml:space="preserve">(anova_x)</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values ~ ind, data = data_st)</w:t>
      </w:r>
      <w:r>
        <w:br w:type="textWrapping"/>
      </w:r>
      <w:r>
        <w:rPr>
          <w:rStyle w:val="VerbatimChar"/>
        </w:rPr>
        <w:t xml:space="preserve">## </w:t>
      </w:r>
      <w:r>
        <w:br w:type="textWrapping"/>
      </w:r>
      <w:r>
        <w:rPr>
          <w:rStyle w:val="VerbatimChar"/>
        </w:rPr>
        <w:t xml:space="preserve">## $ind</w:t>
      </w:r>
      <w:r>
        <w:br w:type="textWrapping"/>
      </w:r>
      <w:r>
        <w:rPr>
          <w:rStyle w:val="VerbatimChar"/>
        </w:rPr>
        <w:t xml:space="preserve">##       diff        lwr        upr     p adj</w:t>
      </w:r>
      <w:r>
        <w:br w:type="textWrapping"/>
      </w:r>
      <w:r>
        <w:rPr>
          <w:rStyle w:val="VerbatimChar"/>
        </w:rPr>
        <w:t xml:space="preserve">## B-A -1.940 -3.4223779 -0.4576221 0.0061798</w:t>
      </w:r>
      <w:r>
        <w:br w:type="textWrapping"/>
      </w:r>
      <w:r>
        <w:rPr>
          <w:rStyle w:val="VerbatimChar"/>
        </w:rPr>
        <w:t xml:space="preserve">## C-A -1.280 -2.7623779  0.2023779 0.1110452</w:t>
      </w:r>
      <w:r>
        <w:br w:type="textWrapping"/>
      </w:r>
      <w:r>
        <w:rPr>
          <w:rStyle w:val="VerbatimChar"/>
        </w:rPr>
        <w:t xml:space="preserve">## D-A -1.234 -2.7163779  0.2483779 0.1313395</w:t>
      </w:r>
      <w:r>
        <w:br w:type="textWrapping"/>
      </w:r>
      <w:r>
        <w:rPr>
          <w:rStyle w:val="VerbatimChar"/>
        </w:rPr>
        <w:t xml:space="preserve">## C-B  0.660 -0.8223779  2.1423779 0.6313692</w:t>
      </w:r>
      <w:r>
        <w:br w:type="textWrapping"/>
      </w:r>
      <w:r>
        <w:rPr>
          <w:rStyle w:val="VerbatimChar"/>
        </w:rPr>
        <w:t xml:space="preserve">## D-B  0.706 -0.7763779  2.1883779 0.5796337</w:t>
      </w:r>
      <w:r>
        <w:br w:type="textWrapping"/>
      </w:r>
      <w:r>
        <w:rPr>
          <w:rStyle w:val="VerbatimChar"/>
        </w:rPr>
        <w:t xml:space="preserve">## D-C  0.046 -1.4363779  1.5283779 0.9997866</w:t>
      </w:r>
    </w:p>
    <w:p>
      <w:pPr>
        <w:pStyle w:val="Heading2"/>
      </w:pPr>
      <w:bookmarkStart w:id="58" w:name="curve-fitting-and-least-squares"/>
      <w:bookmarkEnd w:id="58"/>
      <w:r>
        <w:t xml:space="preserve">Curve Fitting and Least squares</w:t>
      </w:r>
    </w:p>
    <w:p>
      <w:pPr>
        <w:pStyle w:val="FirstParagraph"/>
      </w:pPr>
      <w:r>
        <w:t xml:space="preserve">r</w:t>
      </w:r>
      <w:r>
        <w:t xml:space="preserve"> </w:t>
      </w:r>
      <w:r>
        <w:t xml:space="preserve">R2</w:t>
      </w:r>
      <w:r>
        <w:t xml:space="preserve"> </w:t>
      </w:r>
      <w:r>
        <w:t xml:space="preserve">In statistics, the coefficient of determination, R2 is used in models for the prediction of future outcomes on the basis of other related information. It is the proportion of variability in a data set that is accounted for by the statistical model. It provides a measure of how well future outcomes are likely to be predicted by the model.</w:t>
      </w:r>
    </w:p>
    <w:p>
      <w:pPr>
        <w:pStyle w:val="BodyText"/>
      </w:pPr>
      <w:r>
        <w:t xml:space="preserve">In this case, R2 is simply the square of the sample correlation coefficient between the outcomes and their predicted values, or in the case of simple linear regression, between the outcome and the values being used for prediction. In such cases, the values vary from 0 to 1.</w:t>
      </w:r>
    </w:p>
    <w:p>
      <w:pPr>
        <w:pStyle w:val="BodyText"/>
      </w:pPr>
      <w:r>
        <w:t xml:space="preserve">"Approximately seventy percent of the variation in the response variable can be explained by the explanatory variable. The remaining thirty percent can be explained by unknown, lurking variables or inherent variability."</w:t>
      </w:r>
    </w:p>
    <w:p>
      <w:pPr>
        <w:pStyle w:val="BodyText"/>
      </w:pPr>
      <w:r>
        <w:t xml:space="preserve">Significance of R2</w:t>
      </w:r>
    </w:p>
    <w:p>
      <w:pPr>
        <w:pStyle w:val="Heading3"/>
      </w:pPr>
      <w:bookmarkStart w:id="59" w:name="bootstrapping"/>
      <w:bookmarkEnd w:id="59"/>
      <w:r>
        <w:t xml:space="preserve">Bootstrapping</w:t>
      </w:r>
    </w:p>
    <w:p>
      <w:pPr>
        <w:pStyle w:val="SourceCode"/>
      </w:pPr>
      <w:r>
        <w:rPr>
          <w:rStyle w:val="NormalTok"/>
        </w:rPr>
        <w:t xml:space="preserve">data.in &lt;-</w:t>
      </w:r>
      <w:r>
        <w:rPr>
          <w:rStyle w:val="StringTok"/>
        </w:rPr>
        <w:t xml:space="preserve"> </w:t>
      </w:r>
      <w:r>
        <w:rPr>
          <w:rStyle w:val="KeywordTok"/>
        </w:rPr>
        <w:t xml:space="preserve">read.csv</w:t>
      </w:r>
      <w:r>
        <w:rPr>
          <w:rStyle w:val="NormalTok"/>
        </w:rPr>
        <w:t xml:space="preserve">(</w:t>
      </w:r>
      <w:r>
        <w:rPr>
          <w:rStyle w:val="StringTok"/>
        </w:rPr>
        <w:t xml:space="preserve">"/Users/Study Old/Documents/GitHub/Chemistry_Stats/data/Book1.csv"</w:t>
      </w:r>
      <w:r>
        <w:rPr>
          <w:rStyle w:val="NormalTok"/>
        </w:rPr>
        <w:t xml:space="preserve">, </w:t>
      </w:r>
      <w:r>
        <w:rPr>
          <w:rStyle w:val="DataTypeTok"/>
        </w:rPr>
        <w:t xml:space="preserve">header=</w:t>
      </w:r>
      <w:r>
        <w:rPr>
          <w:rStyle w:val="OtherTok"/>
        </w:rPr>
        <w:t xml:space="preserve">TRUE</w:t>
      </w:r>
      <w:r>
        <w:rPr>
          <w:rStyle w:val="NormalTok"/>
        </w:rPr>
        <w:t xml:space="preserve">)</w:t>
      </w:r>
      <w:r>
        <w:br w:type="textWrapping"/>
      </w:r>
      <w:r>
        <w:br w:type="textWrapping"/>
      </w:r>
      <w:r>
        <w:rPr>
          <w:rStyle w:val="NormalTok"/>
        </w:rPr>
        <w:t xml:space="preserve">bucket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10000</w:t>
      </w:r>
      <w:r>
        <w:rPr>
          <w:rStyle w:val="NormalTok"/>
        </w:rPr>
        <w:t xml:space="preserve">)</w:t>
      </w:r>
      <w:r>
        <w:br w:type="textWrapping"/>
      </w:r>
      <w:r>
        <w:rPr>
          <w:rStyle w:val="NormalTok"/>
        </w:rPr>
        <w:t xml:space="preserve">n &lt;-</w:t>
      </w:r>
      <w:r>
        <w:rPr>
          <w:rStyle w:val="StringTok"/>
        </w:rPr>
        <w:t xml:space="preserve"> </w:t>
      </w:r>
      <w:r>
        <w:rPr>
          <w:rStyle w:val="KeywordTok"/>
        </w:rPr>
        <w:t xml:space="preserve">nrow</w:t>
      </w:r>
      <w:r>
        <w:rPr>
          <w:rStyle w:val="NormalTok"/>
        </w:rPr>
        <w:t xml:space="preserve">(data.in)</w:t>
      </w:r>
      <w:r>
        <w:br w:type="textWrapping"/>
      </w:r>
      <w:r>
        <w:br w:type="textWrapping"/>
      </w:r>
      <w:r>
        <w:rPr>
          <w:rStyle w:val="NormalTok"/>
        </w:rPr>
        <w:t xml:space="preserve">for(i in </w:t>
      </w:r>
      <w:r>
        <w:rPr>
          <w:rStyle w:val="DecValTok"/>
        </w:rPr>
        <w:t xml:space="preserve">1</w:t>
      </w:r>
      <w:r>
        <w:rPr>
          <w:rStyle w:val="NormalTok"/>
        </w:rPr>
        <w:t xml:space="preserve">:</w:t>
      </w:r>
      <w:r>
        <w:rPr>
          <w:rStyle w:val="DecValTok"/>
        </w:rPr>
        <w:t xml:space="preserve">10000</w:t>
      </w:r>
      <w:r>
        <w:rPr>
          <w:rStyle w:val="NormalTok"/>
        </w:rPr>
        <w:t xml:space="preserve">){</w:t>
      </w:r>
      <w:r>
        <w:br w:type="textWrapping"/>
      </w:r>
      <w:r>
        <w:rPr>
          <w:rStyle w:val="NormalTok"/>
        </w:rPr>
        <w:t xml:space="preserve"> </w:t>
      </w:r>
      <w:r>
        <w:rPr>
          <w:rStyle w:val="NormalTok"/>
        </w:rPr>
        <w:t xml:space="preserve"> </w:t>
      </w:r>
      <w:r>
        <w:rPr>
          <w:rStyle w:val="NormalTok"/>
        </w:rPr>
        <w:t xml:space="preserve">samp =</w:t>
      </w:r>
      <w:r>
        <w:rPr>
          <w:rStyle w:val="StringTok"/>
        </w:rPr>
        <w:t xml:space="preserve"> </w:t>
      </w:r>
      <w:r>
        <w:rPr>
          <w:rStyle w:val="KeywordTok"/>
        </w:rPr>
        <w:t xml:space="preserve">sample</w:t>
      </w:r>
      <w:r>
        <w:rPr>
          <w:rStyle w:val="NormalTok"/>
        </w:rPr>
        <w:t xml:space="preserve">(data.in$A, n, </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bucket[i] =</w:t>
      </w:r>
      <w:r>
        <w:rPr>
          <w:rStyle w:val="StringTok"/>
        </w:rPr>
        <w:t xml:space="preserve"> </w:t>
      </w:r>
      <w:r>
        <w:rPr>
          <w:rStyle w:val="KeywordTok"/>
        </w:rPr>
        <w:t xml:space="preserve">mean</w:t>
      </w:r>
      <w:r>
        <w:rPr>
          <w:rStyle w:val="NormalTok"/>
        </w:rPr>
        <w:t xml:space="preserve">(samp)</w:t>
      </w:r>
      <w:r>
        <w:br w:type="textWrapping"/>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(data.in$A, </w:t>
      </w:r>
      <w:r>
        <w:rPr>
          <w:rStyle w:val="DataTypeTok"/>
        </w:rPr>
        <w:t xml:space="preserve">breaks =</w:t>
      </w:r>
      <w:r>
        <w:rPr>
          <w:rStyle w:val="NormalTok"/>
        </w:rPr>
        <w:t xml:space="preserve"> </w:t>
      </w:r>
      <w:r>
        <w:rPr>
          <w:rStyle w:val="DecValTok"/>
        </w:rPr>
        <w:t xml:space="preserve">20</w:t>
      </w:r>
      <w:r>
        <w:rPr>
          <w:rStyle w:val="NormalTok"/>
        </w:rPr>
        <w:t xml:space="preserve">)</w:t>
      </w:r>
      <w:r>
        <w:br w:type="textWrapping"/>
      </w:r>
      <w:r>
        <w:rPr>
          <w:rStyle w:val="KeywordTok"/>
        </w:rPr>
        <w:t xml:space="preserve">hist</w:t>
      </w:r>
      <w:r>
        <w:rPr>
          <w:rStyle w:val="NormalTok"/>
        </w:rPr>
        <w:t xml:space="preserve">(bucket, </w:t>
      </w:r>
      <w:r>
        <w:rPr>
          <w:rStyle w:val="DataTypeTok"/>
        </w:rPr>
        <w:t xml:space="preserve">breaks =</w:t>
      </w:r>
      <w:r>
        <w:rPr>
          <w:rStyle w:val="NormalTok"/>
        </w:rPr>
        <w:t xml:space="preserve"> </w:t>
      </w:r>
      <w:r>
        <w:rPr>
          <w:rStyle w:val="DecValTok"/>
        </w:rPr>
        <w:t xml:space="preserve">20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Chemistry_Statistics_files/figure-docx/unnamed-chunk-10-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61" w:name="monte-carlo-estimates"/>
      <w:bookmarkEnd w:id="61"/>
      <w:r>
        <w:t xml:space="preserve">Monte Carlo Estimates</w:t>
      </w:r>
    </w:p>
    <w:p>
      <w:r>
        <w:pict>
          <v:rect style="width:0;height:1.5pt" o:hralign="center" o:hrstd="t" o:hr="t"/>
        </w:pict>
      </w:r>
    </w:p>
    <w:p>
      <w:pPr>
        <w:pStyle w:val="Heading1"/>
      </w:pPr>
      <w:bookmarkStart w:id="62" w:name="laboratory-statistics"/>
      <w:bookmarkEnd w:id="62"/>
      <w:r>
        <w:t xml:space="preserve">Laboratory Statistics</w:t>
      </w:r>
    </w:p>
    <w:p>
      <w:pPr>
        <w:pStyle w:val="Heading2"/>
      </w:pPr>
      <w:bookmarkStart w:id="63" w:name="data-exploration-guidelines"/>
      <w:bookmarkEnd w:id="63"/>
      <w:r>
        <w:t xml:space="preserve">Data Exploration Guidelines</w:t>
      </w:r>
    </w:p>
    <w:p>
      <w:pPr>
        <w:pStyle w:val="Compact"/>
        <w:numPr>
          <w:numId w:val="1003"/>
          <w:ilvl w:val="0"/>
        </w:numPr>
      </w:pPr>
      <w:r>
        <w:t xml:space="preserve">Know what you are trying to prove.</w:t>
      </w:r>
    </w:p>
    <w:p>
      <w:pPr>
        <w:pStyle w:val="Compact"/>
        <w:numPr>
          <w:numId w:val="1003"/>
          <w:ilvl w:val="0"/>
        </w:numPr>
      </w:pPr>
      <w:r>
        <w:t xml:space="preserve">Always plot your data. Sometimes that is all you need to do for the answer to your question to be obvious.</w:t>
      </w:r>
    </w:p>
    <w:p>
      <w:pPr>
        <w:pStyle w:val="Heading2"/>
      </w:pPr>
      <w:bookmarkStart w:id="64" w:name="stats-test-decision-tree"/>
      <w:bookmarkEnd w:id="64"/>
      <w:r>
        <w:t xml:space="preserve">Stats Test Decision Tree</w:t>
      </w:r>
    </w:p>
    <w:p>
      <w:pPr>
        <w:pStyle w:val="Heading2"/>
      </w:pPr>
      <w:bookmarkStart w:id="65" w:name="tidy-data---presenting-data-for-statistical-analysis"/>
      <w:bookmarkEnd w:id="65"/>
      <w:r>
        <w:t xml:space="preserve">Tidy Data - Presenting Data for statistical analysis</w:t>
      </w:r>
    </w:p>
    <w:p>
      <w:pPr>
        <w:pStyle w:val="Compact"/>
        <w:numPr>
          <w:numId w:val="1004"/>
          <w:ilvl w:val="0"/>
        </w:numPr>
      </w:pPr>
      <w:r>
        <w:t xml:space="preserve">Each variable you measure should be in one column</w:t>
      </w:r>
    </w:p>
    <w:p>
      <w:pPr>
        <w:pStyle w:val="Compact"/>
        <w:numPr>
          <w:numId w:val="1004"/>
          <w:ilvl w:val="0"/>
        </w:numPr>
      </w:pPr>
      <w:r>
        <w:t xml:space="preserve">Each different observation of that variable should be in a different row</w:t>
      </w:r>
    </w:p>
    <w:p>
      <w:pPr>
        <w:pStyle w:val="Compact"/>
        <w:numPr>
          <w:numId w:val="1004"/>
          <w:ilvl w:val="0"/>
        </w:numPr>
      </w:pPr>
      <w:r>
        <w:t xml:space="preserve">There should be one table for each "kind" of variable</w:t>
      </w:r>
    </w:p>
    <w:p>
      <w:pPr>
        <w:pStyle w:val="Compact"/>
        <w:numPr>
          <w:numId w:val="1004"/>
          <w:ilvl w:val="0"/>
        </w:numPr>
      </w:pPr>
      <w:r>
        <w:t xml:space="preserve">If you have multiple tables, they should include a column in the table that allows them to be linked.</w:t>
      </w:r>
    </w:p>
    <w:p>
      <w:pPr>
        <w:pStyle w:val="Heading2"/>
      </w:pPr>
      <w:bookmarkStart w:id="66" w:name="proficiency-programs"/>
      <w:bookmarkEnd w:id="66"/>
      <w:r>
        <w:t xml:space="preserve">Proficiency programs</w:t>
      </w:r>
    </w:p>
    <w:p>
      <w:pPr>
        <w:pStyle w:val="Heading3"/>
      </w:pPr>
      <w:bookmarkStart w:id="67" w:name="en-score"/>
      <w:bookmarkEnd w:id="67"/>
      <w:r>
        <w:t xml:space="preserve">En-Score</w:t>
      </w:r>
    </w:p>
    <w:p>
      <w:pPr>
        <w:pStyle w:val="FirstParagraph"/>
      </w:pPr>
      <m:oMathPara>
        <m:oMathParaPr>
          <m:jc m:val="center"/>
        </m:oMathParaPr>
        <m:oMath>
          <m:r>
            <m:rPr/>
            <m:t>E</m:t>
          </m:r>
          <m:r>
            <m:rPr/>
            <m:t>n</m:t>
          </m:r>
          <m:r>
            <m:rPr/>
            <m:t>=</m:t>
          </m:r>
          <m:f>
            <m:fPr>
              <m:type m:val="bar"/>
            </m:fPr>
            <m:num>
              <m:d>
                <m:dPr>
                  <m:begChr m:val="("/>
                  <m:endChr m:val=")"/>
                  <m:grow/>
                </m:dPr>
                <m:e>
                  <m:sSub>
                    <m:e>
                      <m:r>
                        <m:rPr/>
                        <m:t>V</m:t>
                      </m:r>
                    </m:e>
                    <m:sub>
                      <m:r>
                        <m:rPr/>
                        <m:t>l</m:t>
                      </m:r>
                      <m:r>
                        <m:rPr/>
                        <m:t>a</m:t>
                      </m:r>
                      <m:r>
                        <m:rPr/>
                        <m:t>b</m:t>
                      </m:r>
                    </m:sub>
                  </m:sSub>
                  <m:r>
                    <m:rPr/>
                    <m:t>−</m:t>
                  </m:r>
                  <m:sSub>
                    <m:e>
                      <m:r>
                        <m:rPr/>
                        <m:t>V</m:t>
                      </m:r>
                    </m:e>
                    <m:sub>
                      <m:r>
                        <m:rPr/>
                        <m:t>R</m:t>
                      </m:r>
                      <m:r>
                        <m:rPr/>
                        <m:t>e</m:t>
                      </m:r>
                      <m:r>
                        <m:rPr/>
                        <m:t>f</m:t>
                      </m:r>
                    </m:sub>
                  </m:sSub>
                </m:e>
              </m:d>
            </m:num>
            <m:den>
              <m:rad>
                <m:radPr>
                  <m:degHide m:val="on"/>
                </m:radPr>
                <m:deg/>
                <m:e>
                  <m:r>
                    <m:rPr/>
                    <m:t>(</m:t>
                  </m:r>
                </m:e>
              </m:rad>
              <m:sSubSup>
                <m:e>
                  <m:r>
                    <m:rPr/>
                    <m:t>U</m:t>
                  </m:r>
                </m:e>
                <m:sub>
                  <m:r>
                    <m:rPr/>
                    <m:t>L</m:t>
                  </m:r>
                  <m:r>
                    <m:rPr/>
                    <m:t>a</m:t>
                  </m:r>
                  <m:r>
                    <m:rPr/>
                    <m:t>b</m:t>
                  </m:r>
                </m:sub>
                <m:sup>
                  <m:r>
                    <m:rPr/>
                    <m:t>2</m:t>
                  </m:r>
                </m:sup>
              </m:sSubSup>
              <m:r>
                <m:rPr/>
                <m:t>+</m:t>
              </m:r>
              <m:sSubSup>
                <m:e>
                  <m:r>
                    <m:rPr/>
                    <m:t>U</m:t>
                  </m:r>
                </m:e>
                <m:sub>
                  <m:r>
                    <m:rPr/>
                    <m:t>R</m:t>
                  </m:r>
                  <m:r>
                    <m:rPr/>
                    <m:t>e</m:t>
                  </m:r>
                  <m:r>
                    <m:rPr/>
                    <m:t>f</m:t>
                  </m:r>
                </m:sub>
                <m:sup>
                  <m:r>
                    <m:rPr/>
                    <m:t>2</m:t>
                  </m:r>
                </m:sup>
              </m:sSubSup>
              <m:r>
                <m:rPr/>
                <m:t>)</m:t>
              </m:r>
            </m:den>
          </m:f>
        </m:oMath>
      </m:oMathPara>
    </w:p>
    <w:p>
      <w:pPr>
        <w:pStyle w:val="BodyText"/>
      </w:pPr>
      <w:r>
        <w:t xml:space="preserve">where</w:t>
      </w:r>
    </w:p>
    <w:p>
      <w:pPr>
        <w:pStyle w:val="Heading2"/>
      </w:pPr>
      <w:bookmarkStart w:id="68" w:name="control-charts"/>
      <w:bookmarkEnd w:id="68"/>
      <w:r>
        <w:t xml:space="preserve">Control charts</w:t>
      </w:r>
    </w:p>
    <w:p>
      <w:pPr>
        <w:pStyle w:val="FirstParagraph"/>
      </w:pPr>
      <w:r>
        <w:t xml:space="preserve">Control Charts, as the name suggests, help determine whether a process is under control.</w:t>
      </w:r>
    </w:p>
    <w:p>
      <w:pPr>
        <w:pStyle w:val="BodyText"/>
      </w:pPr>
      <w:r>
        <w:t xml:space="preserve">Conceptually, they are a 3-D Normal curve. The majority of points should fall in the middle, evenly across both sides of the middle, with no trending.</w:t>
      </w:r>
    </w:p>
    <w:p>
      <w:pPr>
        <w:pStyle w:val="Heading3"/>
      </w:pPr>
      <w:bookmarkStart w:id="69" w:name="trending-rules"/>
      <w:bookmarkEnd w:id="69"/>
      <w:r>
        <w:t xml:space="preserve">Trending rules</w:t>
      </w:r>
    </w:p>
    <w:p>
      <w:pPr>
        <w:pStyle w:val="Heading2"/>
      </w:pPr>
      <w:bookmarkStart w:id="70" w:name="two-irmsrms-in-a-batch"/>
      <w:bookmarkEnd w:id="70"/>
      <w:r>
        <w:t xml:space="preserve">Two IRM/SRMs in a batch</w:t>
      </w:r>
    </w:p>
    <w:tbl>
      <w:tblPr>
        <w:tblStyle w:val="TableNormal"/>
        <w:tblW w:type="pct" w:w="3819.444444444445"/>
        <w:tblLook w:firstRow="1"/>
      </w:tblPr>
      <w:tblGrid>
        <w:gridCol w:w="1650"/>
        <w:gridCol w:w="2750"/>
        <w:gridCol w:w="1650"/>
      </w:tblGrid>
      <w:tr>
        <w:trPr>
          <w:cnfStyle w:firstRow="1"/>
        </w:trPr>
        <w:tc>
          <w:tcPr>
            <w:tcBorders>
              <w:bottom w:val="single"/>
            </w:tcBorders>
            <w:vAlign w:val="bottom"/>
          </w:tcPr>
          <w:p>
            <w:pPr>
              <w:pStyle w:val="Compact"/>
              <w:jc w:val="left"/>
            </w:pPr>
            <w:r>
              <w:t xml:space="preserve">Criteria</w:t>
            </w:r>
          </w:p>
        </w:tc>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Rationale</w:t>
            </w:r>
          </w:p>
        </w:tc>
      </w:tr>
      <w:tr>
        <w:tc>
          <w:p>
            <w:pPr>
              <w:pStyle w:val="Compact"/>
              <w:jc w:val="left"/>
            </w:pPr>
            <w:r>
              <w:t xml:space="preserve">Both IRMs within the ±2sd range.</w:t>
            </w:r>
          </w:p>
        </w:tc>
        <w:tc>
          <w:p>
            <w:pPr>
              <w:pStyle w:val="Compact"/>
              <w:jc w:val="left"/>
            </w:pPr>
            <w:r>
              <w:t xml:space="preserve">System in control</w:t>
            </w:r>
          </w:p>
        </w:tc>
        <w:tc>
          <w:p>
            <w:pPr>
              <w:pStyle w:val="Compact"/>
              <w:jc w:val="left"/>
            </w:pPr>
            <w:r>
              <w:t xml:space="preserve">no action</w:t>
            </w:r>
          </w:p>
        </w:tc>
      </w:tr>
      <w:tr>
        <w:tc>
          <w:p>
            <w:pPr>
              <w:pStyle w:val="Compact"/>
              <w:jc w:val="left"/>
            </w:pPr>
            <w:r>
              <w:t xml:space="preserve">One IRM outside the ±2sd range, one within the ±2sd range</w:t>
            </w:r>
          </w:p>
        </w:tc>
        <w:tc>
          <w:p>
            <w:pPr>
              <w:pStyle w:val="Compact"/>
              <w:jc w:val="left"/>
            </w:pPr>
            <w:r>
              <w:t xml:space="preserve">No action but monitor.</w:t>
            </w:r>
          </w:p>
        </w:tc>
        <w:tc>
          <w:p>
            <w:pPr>
              <w:pStyle w:val="Compact"/>
              <w:jc w:val="left"/>
            </w:pPr>
            <w:r>
              <w:t xml:space="preserve">There is a 5% chance that this will happen randomly.</w:t>
            </w:r>
          </w:p>
        </w:tc>
      </w:tr>
      <w:tr>
        <w:tc>
          <w:p>
            <w:pPr>
              <w:pStyle w:val="Compact"/>
              <w:jc w:val="left"/>
            </w:pPr>
            <w:r>
              <w:t xml:space="preserve">Both IRMs outside the ±2sd range.</w:t>
            </w:r>
          </w:p>
        </w:tc>
        <w:tc>
          <w:p>
            <w:pPr>
              <w:pStyle w:val="Compact"/>
              <w:jc w:val="left"/>
            </w:pPr>
            <w:r>
              <w:t xml:space="preserve">Action required.</w:t>
            </w:r>
          </w:p>
        </w:tc>
        <w:tc>
          <w:p>
            <w:pPr>
              <w:pStyle w:val="Compact"/>
              <w:jc w:val="left"/>
            </w:pPr>
            <w:r>
              <w:t xml:space="preserve">There is only a 0.25% chance of this happening randomly.</w:t>
            </w:r>
          </w:p>
        </w:tc>
      </w:tr>
      <w:tr>
        <w:tc>
          <w:p>
            <w:pPr>
              <w:pStyle w:val="Compact"/>
              <w:jc w:val="left"/>
            </w:pPr>
            <w:r>
              <w:t xml:space="preserve">Either IRM is outside the 3sd range.</w:t>
            </w:r>
          </w:p>
        </w:tc>
        <w:tc>
          <w:p>
            <w:pPr>
              <w:pStyle w:val="Compact"/>
              <w:jc w:val="left"/>
            </w:pPr>
            <w:r>
              <w:t xml:space="preserve">Action required.</w:t>
            </w:r>
          </w:p>
        </w:tc>
        <w:tc>
          <w:p>
            <w:pPr>
              <w:pStyle w:val="Compact"/>
              <w:jc w:val="left"/>
            </w:pPr>
            <w:r>
              <w:t xml:space="preserve">There is only a 1% chance of this happening randomly.</w:t>
            </w:r>
          </w:p>
        </w:tc>
      </w:tr>
    </w:tbl>
    <w:p>
      <w:pPr>
        <w:pStyle w:val="BodyText"/>
      </w:pPr>
      <w:r>
        <w:t xml:space="preserve">Note: the IRMs should not be run sequentially. With things like fat and ash it is not a big issue as the samples are all, in effect, tested separately but, in an instrumental batch, it is preferable that the IRMs are at each end of the batch.</w:t>
      </w:r>
    </w:p>
    <w:p>
      <w:pPr>
        <w:pStyle w:val="Heading2"/>
      </w:pPr>
      <w:bookmarkStart w:id="71" w:name="interpreting-gp-reports"/>
      <w:bookmarkEnd w:id="71"/>
      <w:r>
        <w:t xml:space="preserve">Interpreting GP reports</w:t>
      </w:r>
    </w:p>
    <w:p>
      <w:pPr>
        <w:pStyle w:val="Heading2"/>
      </w:pPr>
      <w:bookmarkStart w:id="72" w:name="mu"/>
      <w:bookmarkEnd w:id="72"/>
      <w:r>
        <w:t xml:space="preserve">MU</w:t>
      </w:r>
    </w:p>
    <w:p>
      <w:pPr>
        <w:pStyle w:val="FirstParagraph"/>
      </w:pPr>
      <w:r>
        <w:t xml:space="preserve">Measurement Uncertainty is a value range around a laboratory result that the lab is 95% confident contains the true value. It represents a plausible range of results around the nominal result.</w:t>
      </w:r>
    </w:p>
    <w:p>
      <w:pPr>
        <w:pStyle w:val="Heading3"/>
      </w:pPr>
      <w:bookmarkStart w:id="73" w:name="precision"/>
      <w:bookmarkEnd w:id="73"/>
      <w:r>
        <w:t xml:space="preserve">Precision</w:t>
      </w:r>
    </w:p>
    <w:p>
      <w:pPr>
        <w:pStyle w:val="FirstParagraph"/>
      </w:pPr>
      <w:r>
        <w:t xml:space="preserve">How close the laboratory results are to each other.</w:t>
      </w:r>
    </w:p>
    <w:p>
      <w:pPr>
        <w:pStyle w:val="Heading3"/>
      </w:pPr>
      <w:bookmarkStart w:id="74" w:name="bias"/>
      <w:bookmarkEnd w:id="74"/>
      <w:r>
        <w:t xml:space="preserve">Bias</w:t>
      </w:r>
    </w:p>
    <w:p>
      <w:pPr>
        <w:pStyle w:val="FirstParagraph"/>
      </w:pPr>
      <w:r>
        <w:t xml:space="preserve">How close the laboratory results are to a known value.</w:t>
      </w:r>
    </w:p>
    <w:p>
      <w:pPr>
        <w:pStyle w:val="Heading3"/>
      </w:pPr>
      <w:bookmarkStart w:id="75" w:name="uobias"/>
      <w:bookmarkEnd w:id="75"/>
      <w:r>
        <w:t xml:space="preserve">UoBias</w:t>
      </w:r>
    </w:p>
    <w:p>
      <w:pPr>
        <w:pStyle w:val="FirstParagraph"/>
      </w:pPr>
      <w:r>
        <w:t xml:space="preserve">A function of the laboratory's precision and the uncertainty of the value for the standard or reference value.</w:t>
      </w:r>
    </w:p>
    <w:p>
      <w:pPr>
        <w:pStyle w:val="BodyText"/>
      </w:pPr>
      <w:r>
        <w:t xml:space="preserve">Even when no bias appears to exist in a sample, there will be uncertainty as to whether any bias exists.</w:t>
      </w:r>
    </w:p>
    <w:p>
      <w:pPr>
        <w:pStyle w:val="BodyText"/>
      </w:pPr>
      <w:r>
        <w:t xml:space="preserve">The diagram below compares the laboratory value to the ‘Truth’. The laboratory value has the appropriate uncertainty spread around it, however in reality there is no absolute ‘Truth’. Both the determined value and the certified “truth” value will have an uncertainty around them.</w:t>
      </w:r>
    </w:p>
    <w:p>
      <w:pPr>
        <w:pStyle w:val="Heading2"/>
      </w:pPr>
      <w:bookmarkStart w:id="76" w:name="expansion-coefficient"/>
      <w:bookmarkEnd w:id="76"/>
      <w:r>
        <w:t xml:space="preserve">Expansion Coefficient</w:t>
      </w:r>
    </w:p>
    <w:p>
      <w:pPr>
        <w:pStyle w:val="FirstParagraph"/>
      </w:pPr>
      <w:r>
        <w:t xml:space="preserve">Often 2 is used as a default value for k, the expansion coefficent. While this is adequate for large sample populations (&gt;30), the true value should be used for small sample sizes.</w:t>
      </w:r>
    </w:p>
    <w:p>
      <w:pPr>
        <w:pStyle w:val="SourceCode"/>
      </w:pPr>
      <w:r>
        <w:rPr>
          <w:rStyle w:val="CommentTok"/>
        </w:rPr>
        <w:t xml:space="preserve"># n sample points</w:t>
      </w:r>
      <w:r>
        <w:br w:type="textWrapping"/>
      </w:r>
      <w:r>
        <w:rPr>
          <w:rStyle w:val="NormalTok"/>
        </w:rPr>
        <w:t xml:space="preserve">n &lt;-</w:t>
      </w:r>
      <w:r>
        <w:rPr>
          <w:rStyle w:val="StringTok"/>
        </w:rPr>
        <w:t xml:space="preserve"> </w:t>
      </w:r>
      <w:r>
        <w:rPr>
          <w:rStyle w:val="DecValTok"/>
        </w:rPr>
        <w:t xml:space="preserve">22</w:t>
      </w:r>
      <w:r>
        <w:rPr>
          <w:rStyle w:val="NormalTok"/>
        </w:rPr>
        <w:t xml:space="preserve"> </w:t>
      </w:r>
      <w:r>
        <w:br w:type="textWrapping"/>
      </w:r>
      <w:r>
        <w:br w:type="textWrapping"/>
      </w:r>
      <w:r>
        <w:rPr>
          <w:rStyle w:val="CommentTok"/>
        </w:rPr>
        <w:t xml:space="preserve"># p = desired probability</w:t>
      </w:r>
      <w:r>
        <w:br w:type="textWrapping"/>
      </w:r>
      <w:r>
        <w:rPr>
          <w:rStyle w:val="NormalTok"/>
        </w:rPr>
        <w:t xml:space="preserve">p &lt;-</w:t>
      </w:r>
      <w:r>
        <w:rPr>
          <w:rStyle w:val="StringTok"/>
        </w:rPr>
        <w:t xml:space="preserve"> </w:t>
      </w:r>
      <w:r>
        <w:rPr>
          <w:rStyle w:val="FloatTok"/>
        </w:rPr>
        <w:t xml:space="preserve">0.95</w:t>
      </w:r>
      <w:r>
        <w:br w:type="textWrapping"/>
      </w:r>
      <w:r>
        <w:br w:type="textWrapping"/>
      </w:r>
      <w:r>
        <w:rPr>
          <w:rStyle w:val="CommentTok"/>
        </w:rPr>
        <w:t xml:space="preserve"># Expansion Co-efficient</w:t>
      </w:r>
      <w:r>
        <w:br w:type="textWrapping"/>
      </w:r>
      <w:r>
        <w:rPr>
          <w:rStyle w:val="KeywordTok"/>
        </w:rPr>
        <w:t xml:space="preserve">cat</w:t>
      </w:r>
      <w:r>
        <w:rPr>
          <w:rStyle w:val="NormalTok"/>
        </w:rPr>
        <w:t xml:space="preserve">(</w:t>
      </w:r>
      <w:r>
        <w:rPr>
          <w:rStyle w:val="StringTok"/>
        </w:rPr>
        <w:t xml:space="preserve">"Expansion Co-efficient = "</w:t>
      </w:r>
      <w:r>
        <w:rPr>
          <w:rStyle w:val="NormalTok"/>
        </w:rPr>
        <w:t xml:space="preserve">, </w:t>
      </w:r>
      <w:r>
        <w:rPr>
          <w:rStyle w:val="KeywordTok"/>
        </w:rPr>
        <w:t xml:space="preserve">round</w:t>
      </w:r>
      <w:r>
        <w:rPr>
          <w:rStyle w:val="NormalTok"/>
        </w:rPr>
        <w:t xml:space="preserve">(</w:t>
      </w:r>
      <w:r>
        <w:rPr>
          <w:rStyle w:val="KeywordTok"/>
        </w:rPr>
        <w:t xml:space="preserve">abs</w:t>
      </w:r>
      <w:r>
        <w:rPr>
          <w:rStyle w:val="NormalTok"/>
        </w:rPr>
        <w:t xml:space="preserve">(</w:t>
      </w:r>
      <w:r>
        <w:rPr>
          <w:rStyle w:val="KeywordTok"/>
        </w:rPr>
        <w:t xml:space="preserve">qt</w:t>
      </w:r>
      <w:r>
        <w:rPr>
          <w:rStyle w:val="NormalTok"/>
        </w:rPr>
        <w:t xml:space="preserve">((</w:t>
      </w:r>
      <w:r>
        <w:rPr>
          <w:rStyle w:val="DecValTok"/>
        </w:rPr>
        <w:t xml:space="preserve">1</w:t>
      </w:r>
      <w:r>
        <w:rPr>
          <w:rStyle w:val="NormalTok"/>
        </w:rPr>
        <w:t xml:space="preserve">-p)/</w:t>
      </w:r>
      <w:r>
        <w:rPr>
          <w:rStyle w:val="DecValTok"/>
        </w:rPr>
        <w:t xml:space="preserve">2</w:t>
      </w:r>
      <w:r>
        <w:rPr>
          <w:rStyle w:val="NormalTok"/>
        </w:rPr>
        <w:t xml:space="preserve">, n</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Expansion Co-efficient =  2.08</w:t>
      </w:r>
    </w:p>
    <w:p>
      <w:pPr>
        <w:pStyle w:val="Heading2"/>
      </w:pPr>
      <w:bookmarkStart w:id="77" w:name="tost"/>
      <w:bookmarkEnd w:id="77"/>
      <w:r>
        <w:t xml:space="preserve">TOST</w:t>
      </w:r>
    </w:p>
    <w:p>
      <w:pPr>
        <w:pStyle w:val="Heading2"/>
      </w:pPr>
      <w:bookmarkStart w:id="78" w:name="standard-addition"/>
      <w:bookmarkEnd w:id="78"/>
      <w:r>
        <w:t xml:space="preserve">Standard addition</w:t>
      </w:r>
    </w:p>
    <w:p>
      <w:pPr>
        <w:pStyle w:val="Heading2"/>
      </w:pPr>
      <w:bookmarkStart w:id="79" w:name="retest-acceptability"/>
      <w:bookmarkEnd w:id="79"/>
      <w:r>
        <w:t xml:space="preserve">Retest Acceptability</w:t>
      </w:r>
    </w:p>
    <w:p>
      <w:pPr>
        <w:pStyle w:val="Heading2"/>
      </w:pPr>
      <w:bookmarkStart w:id="80" w:name="distribution-calculator"/>
      <w:bookmarkEnd w:id="80"/>
      <w:r>
        <w:t xml:space="preserve">Distribution Calculator</w:t>
      </w:r>
    </w:p>
    <w:p>
      <w:pPr>
        <w:pStyle w:val="FirstParagraph"/>
      </w:pPr>
      <w:r>
        <w:t xml:space="preserve">[On-line Distribution Calculator] (</w:t>
      </w:r>
      <w:hyperlink r:id="rId81">
        <w:r>
          <w:rPr>
            <w:rStyle w:val="Hyperlink"/>
          </w:rPr>
          <w:t xml:space="preserve">https://gallery.shinyapps.io/dist_calc/</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23cf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4fa4c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hyperlink" Id="rId81" Target="https://gallery.shinyapps.io/dist_calc/" TargetMode="External" /></Relationships>
</file>

<file path=word/_rels/footnotes.xml.rels><?xml version="1.0" encoding="UTF-8"?>
<Relationships xmlns="http://schemas.openxmlformats.org/package/2006/relationships"><Relationship Type="http://schemas.openxmlformats.org/officeDocument/2006/relationships/hyperlink" Id="rId81" Target="https://gallery.shinyapps.io/dist_cal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Statistics</dc:title>
  <dc:creator>Lee Kennedy</dc:creator>
  <dcterms:created xsi:type="dcterms:W3CDTF">2016-04-20</dcterms:created>
  <dcterms:modified xsi:type="dcterms:W3CDTF">2016-04-20</dcterms:modified>
</cp:coreProperties>
</file>