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0F5C5C"/>
          <w:sz w:val="44"/>
          <w:szCs w:val="44"/>
        </w:rPr>
        <w:t xml:space="preserve">KOLOS</w:t>
      </w:r>
    </w:p>
    <w:p>
      <w:pPr>
        <w:spacing w:after="260"/>
      </w:pPr>
      <w:r>
        <w:rPr>
          <w:b/>
          <w:bCs/>
          <w:color w:val="0B2B2B"/>
          <w:sz w:val="26"/>
          <w:szCs w:val="26"/>
        </w:rPr>
        <w:t xml:space="preserve">Ukrainian Farm Funding &amp; Grants — Reference Brief</w:t>
      </w:r>
    </w:p>
    <w:p>
      <w:pPr>
        <w:spacing w:after="40"/>
      </w:pPr>
      <w:r>
        <w:rPr>
          <w:i/>
          <w:iCs/>
          <w:color w:val="5A6B60"/>
          <w:sz w:val="20"/>
          <w:szCs w:val="20"/>
        </w:rPr>
        <w:t xml:space="preserve">Compiled from web search · Last verified: 22 July 2026</w:t>
      </w:r>
    </w:p>
    <w:p>
      <w:pPr>
        <w:pBdr>
          <w:top w:val="single" w:color="B23A2E" w:sz="6"/>
          <w:bottom w:val="single" w:color="B23A2E" w:sz="6"/>
          <w:left w:val="single" w:color="B23A2E" w:sz="6"/>
          <w:right w:val="single" w:color="B23A2E" w:sz="6"/>
        </w:pBdr>
        <w:shd w:fill="FBEBE8" w:val="clear"/>
        <w:spacing w:after="200" w:before="120"/>
      </w:pPr>
      <w:r>
        <w:rPr>
          <w:b/>
          <w:bCs/>
          <w:color w:val="B23A2E"/>
          <w:sz w:val="20"/>
          <w:szCs w:val="20"/>
        </w:rPr>
        <w:t xml:space="preserve">⚠ Funding programmes in Ukraine open, close, and change terms frequently — especially in wartime. Every entry below is dated and sourced. Confirm current status, exact eligibility, and deadlines directly with the funding body before advising a farmer to apply. Do not treat this brief as a static source of truth in Kolos — always re-verify with a live web search.</w:t>
      </w:r>
    </w:p>
    <w:p>
      <w:pPr>
        <w:pStyle w:val="Heading1"/>
        <w:spacing w:after="140" w:before="320"/>
      </w:pPr>
      <w:r>
        <w:rPr>
          <w:b/>
          <w:bCs/>
          <w:color w:val="0F5C5C"/>
          <w:sz w:val="28"/>
          <w:szCs w:val="28"/>
        </w:rPr>
        <w:t xml:space="preserve">How to use this brief</w:t>
      </w:r>
    </w:p>
    <w:p>
      <w:pPr>
        <w:spacing w:after="100"/>
      </w:pPr>
      <w:r>
        <w:rPr>
          <w:color w:val="0B2B2B"/>
          <w:sz w:val="21"/>
          <w:szCs w:val="21"/>
        </w:rPr>
        <w:t xml:space="preserve">This document is a starting reference, not a live feed. It lists programmes found via web search as of the date above, each with its source link. Treat every figure (amounts, percentages, deadlines) as reported by the linked source at the time it was published — some deadlines below may already have passed by the time you read this, and new application cycles typically follow. Where information was incomplete or contradictory across sources, that is flagged explicitly rather than filled in with a guess.</w:t>
      </w:r>
    </w:p>
    <w:p>
      <w:pPr>
        <w:pStyle w:val="Heading1"/>
        <w:spacing w:after="140" w:before="320"/>
      </w:pPr>
      <w:r>
        <w:rPr>
          <w:b/>
          <w:bCs/>
          <w:color w:val="0F5C5C"/>
          <w:sz w:val="28"/>
          <w:szCs w:val="28"/>
        </w:rPr>
        <w:t xml:space="preserve">1. Ukrainian Government Programmes</w:t>
      </w:r>
    </w:p>
    <w:p>
      <w:pPr>
        <w:pStyle w:val="Heading2"/>
        <w:spacing w:after="100" w:before="240"/>
      </w:pPr>
      <w:r>
        <w:rPr>
          <w:b/>
          <w:bCs/>
          <w:color w:val="0B2B2B"/>
          <w:sz w:val="24"/>
          <w:szCs w:val="24"/>
        </w:rPr>
        <w:t xml:space="preserve">1.1 Horticulture, berry, viticulture, greenhouse &amp; storage grants</w:t>
      </w:r>
    </w:p>
    <w:p>
      <w:pPr>
        <w:spacing w:after="40"/>
      </w:pPr>
      <w:r>
        <w:rPr>
          <w:b/>
          <w:bCs/>
          <w:color w:val="0F5C5C"/>
          <w:sz w:val="21"/>
          <w:szCs w:val="21"/>
        </w:rPr>
        <w:t xml:space="preserve">Body: </w:t>
      </w:r>
      <w:r>
        <w:rPr>
          <w:color w:val="0B2B2B"/>
          <w:sz w:val="21"/>
          <w:szCs w:val="21"/>
        </w:rPr>
        <w:t xml:space="preserve">Ministry of Economy, Environment and Agriculture, via the Diia portal</w:t>
      </w:r>
    </w:p>
    <w:p>
      <w:pPr>
        <w:spacing w:after="40"/>
      </w:pPr>
      <w:r>
        <w:rPr>
          <w:b/>
          <w:bCs/>
          <w:color w:val="0F5C5C"/>
          <w:sz w:val="21"/>
          <w:szCs w:val="21"/>
        </w:rPr>
        <w:t xml:space="preserve">What it offers: </w:t>
      </w:r>
      <w:r>
        <w:rPr>
          <w:color w:val="0B2B2B"/>
          <w:sz w:val="21"/>
          <w:szCs w:val="21"/>
        </w:rPr>
        <w:t xml:space="preserve">Co-financing grants for orchards, berry farms, vineyards, greenhouses, and vegetable/fruit storage facilities</w:t>
      </w:r>
    </w:p>
    <w:p>
      <w:pPr>
        <w:spacing w:after="40"/>
      </w:pPr>
      <w:r>
        <w:rPr>
          <w:b/>
          <w:bCs/>
          <w:color w:val="0F5C5C"/>
          <w:sz w:val="21"/>
          <w:szCs w:val="21"/>
        </w:rPr>
        <w:t xml:space="preserve">Amount: </w:t>
      </w:r>
      <w:r>
        <w:rPr>
          <w:color w:val="0B2B2B"/>
          <w:sz w:val="21"/>
          <w:szCs w:val="21"/>
        </w:rPr>
        <w:t xml:space="preserve">Up to UAH 7 million per project, covering up to 70% of project costs (up to 80% for businesses in de-occupied or frontline territories)</w:t>
      </w:r>
    </w:p>
    <w:p>
      <w:pPr>
        <w:spacing w:after="40"/>
      </w:pPr>
      <w:r>
        <w:rPr>
          <w:b/>
          <w:bCs/>
          <w:color w:val="0F5C5C"/>
          <w:sz w:val="21"/>
          <w:szCs w:val="21"/>
        </w:rPr>
        <w:t xml:space="preserve">Status noted in sources: </w:t>
      </w:r>
      <w:r>
        <w:rPr>
          <w:color w:val="0B2B2B"/>
          <w:sz w:val="21"/>
          <w:szCs w:val="21"/>
        </w:rPr>
        <w:t xml:space="preserve">35 businesses funded (UAH 183 million total) since the start of 2026; 42 applications approved (UAH 215.4 million) as of early 2026; applications for greenhouse/horticulture development resumed via Diia on 2 February 2026; rules for storage-facility grants amended by Cabinet of Ministers on 22 April 2026</w:t>
      </w:r>
    </w:p>
    <w:p>
      <w:pPr>
        <w:spacing w:after="160"/>
      </w:pPr>
      <w:r>
        <w:rPr>
          <w:b/>
          <w:bCs/>
          <w:color w:val="5A6B60"/>
          <w:sz w:val="20"/>
          <w:szCs w:val="20"/>
        </w:rPr>
        <w:t xml:space="preserve">Source: </w:t>
      </w:r>
      <w:hyperlink w:history="1" r:id="rIdrzxelbvcesxo8phfwh1ua">
        <w:r>
          <w:rPr>
            <w:rStyle w:val="Hyperlink"/>
            <w:color w:val="147575"/>
            <w:sz w:val="20"/>
            <w:szCs w:val="20"/>
          </w:rPr>
          <w:t xml:space="preserve">Ukraine awards UAH 183 mln in agri-grants to 35 businesses — Interfax Ukraine</w:t>
        </w:r>
      </w:hyperlink>
    </w:p>
    <w:p>
      <w:pPr>
        <w:spacing w:after="160"/>
      </w:pPr>
      <w:r>
        <w:rPr>
          <w:b/>
          <w:bCs/>
          <w:color w:val="5A6B60"/>
          <w:sz w:val="20"/>
          <w:szCs w:val="20"/>
        </w:rPr>
        <w:t xml:space="preserve">Source: </w:t>
      </w:r>
      <w:hyperlink w:history="1" r:id="rId6jg6jk9ti_zzzl93ccdgp">
        <w:r>
          <w:rPr>
            <w:rStyle w:val="Hyperlink"/>
            <w:color w:val="147575"/>
            <w:sz w:val="20"/>
            <w:szCs w:val="20"/>
          </w:rPr>
          <w:t xml:space="preserve">Ukraine changes grant rules for vegetable and fruit storage facilities — EastFruit</w:t>
        </w:r>
      </w:hyperlink>
    </w:p>
    <w:p>
      <w:pPr>
        <w:spacing w:after="160"/>
      </w:pPr>
      <w:r>
        <w:rPr>
          <w:b/>
          <w:bCs/>
          <w:color w:val="5A6B60"/>
          <w:sz w:val="20"/>
          <w:szCs w:val="20"/>
        </w:rPr>
        <w:t xml:space="preserve">Source: </w:t>
      </w:r>
      <w:hyperlink w:history="1" r:id="rId3uzwjdoxblzygfi7v-ttk">
        <w:r>
          <w:rPr>
            <w:rStyle w:val="Hyperlink"/>
            <w:color w:val="147575"/>
            <w:sz w:val="20"/>
            <w:szCs w:val="20"/>
          </w:rPr>
          <w:t xml:space="preserve">Agricultural Support in Ukraine 2026: Grants, Subsidies, and Agri-Insurance — ProAgro Ukraine</w:t>
        </w:r>
      </w:hyperlink>
    </w:p>
    <w:p>
      <w:pPr>
        <w:pStyle w:val="Heading2"/>
        <w:spacing w:after="100" w:before="240"/>
      </w:pPr>
      <w:r>
        <w:rPr>
          <w:b/>
          <w:bCs/>
          <w:color w:val="0B2B2B"/>
          <w:sz w:val="24"/>
          <w:szCs w:val="24"/>
        </w:rPr>
        <w:t xml:space="preserve">1.2 Livestock subsidies — cattle, goats, sheep</w:t>
      </w:r>
    </w:p>
    <w:p>
      <w:pPr>
        <w:spacing w:after="40"/>
      </w:pPr>
      <w:r>
        <w:rPr>
          <w:b/>
          <w:bCs/>
          <w:color w:val="0F5C5C"/>
          <w:sz w:val="21"/>
          <w:szCs w:val="21"/>
        </w:rPr>
        <w:t xml:space="preserve">Body: </w:t>
      </w:r>
      <w:r>
        <w:rPr>
          <w:color w:val="0B2B2B"/>
          <w:sz w:val="21"/>
          <w:szCs w:val="21"/>
        </w:rPr>
        <w:t xml:space="preserve">Ministry of Economy, Environment and Agriculture, via the State Agrarian Registry</w:t>
      </w:r>
    </w:p>
    <w:p>
      <w:pPr>
        <w:spacing w:after="40"/>
      </w:pPr>
      <w:r>
        <w:rPr>
          <w:b/>
          <w:bCs/>
          <w:color w:val="0F5C5C"/>
          <w:sz w:val="21"/>
          <w:szCs w:val="21"/>
        </w:rPr>
        <w:t xml:space="preserve">What it offers: </w:t>
      </w:r>
      <w:r>
        <w:rPr>
          <w:color w:val="0B2B2B"/>
          <w:sz w:val="21"/>
          <w:szCs w:val="21"/>
        </w:rPr>
        <w:t xml:space="preserve">Direct per-head payments to livestock keepers</w:t>
      </w:r>
    </w:p>
    <w:p>
      <w:pPr>
        <w:spacing w:after="40"/>
      </w:pPr>
      <w:r>
        <w:rPr>
          <w:b/>
          <w:bCs/>
          <w:color w:val="0F5C5C"/>
          <w:sz w:val="21"/>
          <w:szCs w:val="21"/>
        </w:rPr>
        <w:t xml:space="preserve">Amount: </w:t>
      </w:r>
      <w:r>
        <w:rPr>
          <w:color w:val="0B2B2B"/>
          <w:sz w:val="21"/>
          <w:szCs w:val="21"/>
        </w:rPr>
        <w:t xml:space="preserve">UAH 7,000 per head for farmers with 3–100 cows (any productivity level); UAH 2,000 per head for farmers keeping 5–500 breeding goats and/or sheep</w:t>
      </w:r>
    </w:p>
    <w:p>
      <w:pPr>
        <w:spacing w:after="40"/>
      </w:pPr>
      <w:r>
        <w:rPr>
          <w:b/>
          <w:bCs/>
          <w:color w:val="0F5C5C"/>
          <w:sz w:val="21"/>
          <w:szCs w:val="21"/>
        </w:rPr>
        <w:t xml:space="preserve">Eligibility noted: </w:t>
      </w:r>
      <w:r>
        <w:rPr>
          <w:color w:val="0B2B2B"/>
          <w:sz w:val="21"/>
          <w:szCs w:val="21"/>
        </w:rPr>
        <w:t xml:space="preserve">Open regardless of whether the business received this subsidy in 2022–2025; applications opened via the State Agrarian Registry, announced 7 April 2026</w:t>
      </w:r>
    </w:p>
    <w:p>
      <w:pPr>
        <w:spacing w:after="160"/>
      </w:pPr>
      <w:r>
        <w:rPr>
          <w:b/>
          <w:bCs/>
          <w:color w:val="5A6B60"/>
          <w:sz w:val="20"/>
          <w:szCs w:val="20"/>
        </w:rPr>
        <w:t xml:space="preserve">Source: </w:t>
      </w:r>
      <w:hyperlink w:history="1" r:id="rIdqr1jupa6be3ogcssmqg4e">
        <w:r>
          <w:rPr>
            <w:rStyle w:val="Hyperlink"/>
            <w:color w:val="147575"/>
            <w:sz w:val="20"/>
            <w:szCs w:val="20"/>
          </w:rPr>
          <w:t xml:space="preserve">Ukraine launches subsidies for cow, goat and sheep farmers in 2026 — NV</w:t>
        </w:r>
      </w:hyperlink>
    </w:p>
    <w:p>
      <w:pPr>
        <w:spacing w:after="160"/>
      </w:pPr>
      <w:r>
        <w:rPr>
          <w:b/>
          <w:bCs/>
          <w:color w:val="5A6B60"/>
          <w:sz w:val="20"/>
          <w:szCs w:val="20"/>
        </w:rPr>
        <w:t xml:space="preserve">Source: </w:t>
      </w:r>
      <w:hyperlink w:history="1" r:id="rIdctsrk-vekur5cvlgjxrdf">
        <w:r>
          <w:rPr>
            <w:rStyle w:val="Hyperlink"/>
            <w:color w:val="147575"/>
            <w:sz w:val="20"/>
            <w:szCs w:val="20"/>
          </w:rPr>
          <w:t xml:space="preserve">Ukrainian Farmers Received 137 Mln UAH in Subsidies for Goats and Sheep — Open4Business</w:t>
        </w:r>
      </w:hyperlink>
    </w:p>
    <w:p>
      <w:pPr>
        <w:pStyle w:val="Heading2"/>
        <w:spacing w:after="100" w:before="240"/>
      </w:pPr>
      <w:r>
        <w:rPr>
          <w:b/>
          <w:bCs/>
          <w:color w:val="0B2B2B"/>
          <w:sz w:val="24"/>
          <w:szCs w:val="24"/>
        </w:rPr>
        <w:t xml:space="preserve">1.3 Livestock farm construction reimbursement</w:t>
      </w:r>
    </w:p>
    <w:p>
      <w:pPr>
        <w:spacing w:after="40"/>
      </w:pPr>
      <w:r>
        <w:rPr>
          <w:b/>
          <w:bCs/>
          <w:color w:val="0F5C5C"/>
          <w:sz w:val="21"/>
          <w:szCs w:val="21"/>
        </w:rPr>
        <w:t xml:space="preserve">What it offers: </w:t>
      </w:r>
      <w:r>
        <w:rPr>
          <w:color w:val="0B2B2B"/>
          <w:sz w:val="21"/>
          <w:szCs w:val="21"/>
        </w:rPr>
        <w:t xml:space="preserve">Partial reimbursement of construction costs for cattle-raising farms</w:t>
      </w:r>
    </w:p>
    <w:p>
      <w:pPr>
        <w:spacing w:after="40"/>
      </w:pPr>
      <w:r>
        <w:rPr>
          <w:b/>
          <w:bCs/>
          <w:color w:val="0F5C5C"/>
          <w:sz w:val="21"/>
          <w:szCs w:val="21"/>
        </w:rPr>
        <w:t xml:space="preserve">Amount: </w:t>
      </w:r>
      <w:r>
        <w:rPr>
          <w:color w:val="0B2B2B"/>
          <w:sz w:val="21"/>
          <w:szCs w:val="21"/>
        </w:rPr>
        <w:t xml:space="preserve">Reimbursement rate increased from 25% to 50% of total construction cost for farms in frontline areas (Cabinet of Ministers decision, November 2025)</w:t>
      </w:r>
    </w:p>
    <w:p>
      <w:pPr>
        <w:spacing w:after="160"/>
      </w:pPr>
      <w:r>
        <w:rPr>
          <w:b/>
          <w:bCs/>
          <w:color w:val="5A6B60"/>
          <w:sz w:val="20"/>
          <w:szCs w:val="20"/>
        </w:rPr>
        <w:t xml:space="preserve">Source: </w:t>
      </w:r>
      <w:hyperlink w:history="1" r:id="rIdgbhqtxxmqnnb0dyzhgys8">
        <w:r>
          <w:rPr>
            <w:rStyle w:val="Hyperlink"/>
            <w:color w:val="147575"/>
            <w:sz w:val="20"/>
            <w:szCs w:val="20"/>
          </w:rPr>
          <w:t xml:space="preserve">Access to Credits, Grants, and Donor Programs for Every Farmer in Ukraine — AgroNews</w:t>
        </w:r>
      </w:hyperlink>
    </w:p>
    <w:p>
      <w:pPr>
        <w:pStyle w:val="Heading2"/>
        <w:spacing w:after="100" w:before="240"/>
      </w:pPr>
      <w:r>
        <w:rPr>
          <w:b/>
          <w:bCs/>
          <w:color w:val="0B2B2B"/>
          <w:sz w:val="24"/>
          <w:szCs w:val="24"/>
        </w:rPr>
        <w:t xml:space="preserve">1.4 Domestic machinery &amp; equipment compensation</w:t>
      </w:r>
    </w:p>
    <w:p>
      <w:pPr>
        <w:spacing w:after="40"/>
      </w:pPr>
      <w:r>
        <w:rPr>
          <w:b/>
          <w:bCs/>
          <w:color w:val="0F5C5C"/>
          <w:sz w:val="21"/>
          <w:szCs w:val="21"/>
        </w:rPr>
        <w:t xml:space="preserve">What it offers: </w:t>
      </w:r>
      <w:r>
        <w:rPr>
          <w:color w:val="0B2B2B"/>
          <w:sz w:val="21"/>
          <w:szCs w:val="21"/>
        </w:rPr>
        <w:t xml:space="preserve">Partial compensation for the purchase of Ukrainian-made agricultural machinery and equipment</w:t>
      </w:r>
    </w:p>
    <w:p>
      <w:pPr>
        <w:spacing w:after="40"/>
      </w:pPr>
      <w:r>
        <w:rPr>
          <w:b/>
          <w:bCs/>
          <w:color w:val="0F5C5C"/>
          <w:sz w:val="21"/>
          <w:szCs w:val="21"/>
        </w:rPr>
        <w:t xml:space="preserve">Amount: </w:t>
      </w:r>
      <w:r>
        <w:rPr>
          <w:color w:val="0B2B2B"/>
          <w:sz w:val="21"/>
          <w:szCs w:val="21"/>
        </w:rPr>
        <w:t xml:space="preserve">25% compensation standard nationwide; 40% for producers whose land is more than 80% located in frontline/combat areas; UAH 1.8 billion allocated for the 2026 programme</w:t>
      </w:r>
    </w:p>
    <w:p>
      <w:pPr>
        <w:spacing w:after="40"/>
      </w:pPr>
      <w:r>
        <w:rPr>
          <w:b/>
          <w:bCs/>
          <w:color w:val="0F5C5C"/>
          <w:sz w:val="21"/>
          <w:szCs w:val="21"/>
        </w:rPr>
        <w:t xml:space="preserve">Status noted: </w:t>
      </w:r>
      <w:r>
        <w:rPr>
          <w:color w:val="0B2B2B"/>
          <w:sz w:val="21"/>
          <w:szCs w:val="21"/>
        </w:rPr>
        <w:t xml:space="preserve">First 2026 payment round: UAH 126.1 million paid to 382 agricultural producers</w:t>
      </w:r>
    </w:p>
    <w:p>
      <w:pPr>
        <w:spacing w:after="160"/>
      </w:pPr>
      <w:r>
        <w:rPr>
          <w:b/>
          <w:bCs/>
          <w:color w:val="5A6B60"/>
          <w:sz w:val="20"/>
          <w:szCs w:val="20"/>
        </w:rPr>
        <w:t xml:space="preserve">Source: </w:t>
      </w:r>
      <w:hyperlink w:history="1" r:id="rIdzve0r1kpwxd_ydlwvicpx">
        <w:r>
          <w:rPr>
            <w:rStyle w:val="Hyperlink"/>
            <w:color w:val="147575"/>
            <w:sz w:val="20"/>
            <w:szCs w:val="20"/>
          </w:rPr>
          <w:t xml:space="preserve">Ukraine Expands Farm Machinery Subsidy to 40% for Frontline Regions — ProAgro Ukraine</w:t>
        </w:r>
      </w:hyperlink>
    </w:p>
    <w:p>
      <w:pPr>
        <w:spacing w:after="160"/>
      </w:pPr>
      <w:r>
        <w:rPr>
          <w:b/>
          <w:bCs/>
          <w:color w:val="5A6B60"/>
          <w:sz w:val="20"/>
          <w:szCs w:val="20"/>
        </w:rPr>
        <w:t xml:space="preserve">Source: </w:t>
      </w:r>
      <w:hyperlink w:history="1" r:id="rIdqx2aqvclkkh_9bthfsz3s">
        <w:r>
          <w:rPr>
            <w:rStyle w:val="Hyperlink"/>
            <w:color w:val="147575"/>
            <w:sz w:val="20"/>
            <w:szCs w:val="20"/>
          </w:rPr>
          <w:t xml:space="preserve">Ukraine Pays $126M in Farm Machinery Compensation — ProAgro Ukraine</w:t>
        </w:r>
      </w:hyperlink>
    </w:p>
    <w:p>
      <w:pPr>
        <w:pStyle w:val="Heading2"/>
        <w:spacing w:after="100" w:before="240"/>
      </w:pPr>
      <w:r>
        <w:rPr>
          <w:b/>
          <w:bCs/>
          <w:color w:val="0B2B2B"/>
          <w:sz w:val="24"/>
          <w:szCs w:val="24"/>
        </w:rPr>
        <w:t xml:space="preserve">1.5 Fertilizer purchase subsidy</w:t>
      </w:r>
    </w:p>
    <w:p>
      <w:pPr>
        <w:spacing w:after="40"/>
      </w:pPr>
      <w:r>
        <w:rPr>
          <w:b/>
          <w:bCs/>
          <w:color w:val="0F5C5C"/>
          <w:sz w:val="21"/>
          <w:szCs w:val="21"/>
        </w:rPr>
        <w:t xml:space="preserve">What it offers: </w:t>
      </w:r>
      <w:r>
        <w:rPr>
          <w:color w:val="0B2B2B"/>
          <w:sz w:val="21"/>
          <w:szCs w:val="21"/>
        </w:rPr>
        <w:t xml:space="preserve">Non-repayable aid toward the purchase of Ukrainian-made complex mineral fertilizers</w:t>
      </w:r>
    </w:p>
    <w:p>
      <w:pPr>
        <w:spacing w:after="40"/>
      </w:pPr>
      <w:r>
        <w:rPr>
          <w:b/>
          <w:bCs/>
          <w:color w:val="0F5C5C"/>
          <w:sz w:val="21"/>
          <w:szCs w:val="21"/>
        </w:rPr>
        <w:t xml:space="preserve">Amount: </w:t>
      </w:r>
      <w:r>
        <w:rPr>
          <w:color w:val="0B2B2B"/>
          <w:sz w:val="21"/>
          <w:szCs w:val="21"/>
        </w:rPr>
        <w:t xml:space="preserve">Up to UAH 1,000 per hectare, capped at 7 tonnes per 100 hectares; applications via the State Agrarian Register</w:t>
      </w:r>
    </w:p>
    <w:p>
      <w:pPr>
        <w:spacing w:after="160"/>
      </w:pPr>
      <w:r>
        <w:rPr>
          <w:b/>
          <w:bCs/>
          <w:color w:val="5A6B60"/>
          <w:sz w:val="20"/>
          <w:szCs w:val="20"/>
        </w:rPr>
        <w:t xml:space="preserve">Source: </w:t>
      </w:r>
      <w:hyperlink w:history="1" r:id="rId0-ygpu-i3hjkqlgddgiyr">
        <w:r>
          <w:rPr>
            <w:rStyle w:val="Hyperlink"/>
            <w:color w:val="147575"/>
            <w:sz w:val="20"/>
            <w:szCs w:val="20"/>
          </w:rPr>
          <w:t xml:space="preserve">Ukraine plans to partially reimburse farmers for the cost of purchased fertilizers — AgroNews</w:t>
        </w:r>
      </w:hyperlink>
    </w:p>
    <w:p>
      <w:pPr>
        <w:spacing w:after="160"/>
      </w:pPr>
      <w:r>
        <w:rPr>
          <w:b/>
          <w:bCs/>
          <w:color w:val="5A6B60"/>
          <w:sz w:val="20"/>
          <w:szCs w:val="20"/>
        </w:rPr>
        <w:t xml:space="preserve">Source: </w:t>
      </w:r>
      <w:hyperlink w:history="1" r:id="rIdegjcdxxagmy7iuroeiihe">
        <w:r>
          <w:rPr>
            <w:rStyle w:val="Hyperlink"/>
            <w:color w:val="147575"/>
            <w:sz w:val="20"/>
            <w:szCs w:val="20"/>
          </w:rPr>
          <w:t xml:space="preserve">Expanded State Support Programs for Agriculture in 2026 — AgroReview</w:t>
        </w:r>
      </w:hyperlink>
    </w:p>
    <w:p>
      <w:pPr>
        <w:pStyle w:val="Heading2"/>
        <w:spacing w:after="100" w:before="240"/>
      </w:pPr>
      <w:r>
        <w:rPr>
          <w:b/>
          <w:bCs/>
          <w:color w:val="0B2B2B"/>
          <w:sz w:val="24"/>
          <w:szCs w:val="24"/>
        </w:rPr>
        <w:t xml:space="preserve">1.6 Land reclamation compensation</w:t>
      </w:r>
    </w:p>
    <w:p>
      <w:pPr>
        <w:spacing w:after="40"/>
      </w:pPr>
      <w:r>
        <w:rPr>
          <w:b/>
          <w:bCs/>
          <w:color w:val="0F5C5C"/>
          <w:sz w:val="21"/>
          <w:szCs w:val="21"/>
        </w:rPr>
        <w:t xml:space="preserve">What it offers: </w:t>
      </w:r>
      <w:r>
        <w:rPr>
          <w:color w:val="0B2B2B"/>
          <w:sz w:val="21"/>
          <w:szCs w:val="21"/>
        </w:rPr>
        <w:t xml:space="preserve">Compensation for irrigation / land reclamation costs</w:t>
      </w:r>
    </w:p>
    <w:p>
      <w:pPr>
        <w:spacing w:after="40"/>
      </w:pPr>
      <w:r>
        <w:rPr>
          <w:b/>
          <w:bCs/>
          <w:color w:val="0F5C5C"/>
          <w:sz w:val="21"/>
          <w:szCs w:val="21"/>
        </w:rPr>
        <w:t xml:space="preserve">Amount: </w:t>
      </w:r>
      <w:r>
        <w:rPr>
          <w:color w:val="0B2B2B"/>
          <w:sz w:val="21"/>
          <w:szCs w:val="21"/>
        </w:rPr>
        <w:t xml:space="preserve">Maximum compensation raised to over UAH 30,000 per hectare nationwide, and over UAH 48,000 per hectare in frontline territories</w:t>
      </w:r>
    </w:p>
    <w:p>
      <w:pPr>
        <w:spacing w:after="160"/>
      </w:pPr>
      <w:r>
        <w:rPr>
          <w:b/>
          <w:bCs/>
          <w:color w:val="5A6B60"/>
          <w:sz w:val="20"/>
          <w:szCs w:val="20"/>
        </w:rPr>
        <w:t xml:space="preserve">Source: </w:t>
      </w:r>
      <w:hyperlink w:history="1" r:id="rIdsznf1epgxrccsvz5vcvuz">
        <w:r>
          <w:rPr>
            <w:rStyle w:val="Hyperlink"/>
            <w:color w:val="147575"/>
            <w:sz w:val="20"/>
            <w:szCs w:val="20"/>
          </w:rPr>
          <w:t xml:space="preserve">Ukraine plans to partially reimburse farmers for the cost of purchased fertilizers — AgroNews (land reclamation section)</w:t>
        </w:r>
      </w:hyperlink>
    </w:p>
    <w:p>
      <w:pPr>
        <w:pStyle w:val="Heading2"/>
        <w:spacing w:after="100" w:before="240"/>
      </w:pPr>
      <w:r>
        <w:rPr>
          <w:b/>
          <w:bCs/>
          <w:color w:val="0B2B2B"/>
          <w:sz w:val="24"/>
          <w:szCs w:val="24"/>
        </w:rPr>
        <w:t xml:space="preserve">1.7 Affordable Loans 5-7-9%</w:t>
      </w:r>
    </w:p>
    <w:p>
      <w:pPr>
        <w:spacing w:after="40"/>
      </w:pPr>
      <w:r>
        <w:rPr>
          <w:b/>
          <w:bCs/>
          <w:color w:val="0F5C5C"/>
          <w:sz w:val="21"/>
          <w:szCs w:val="21"/>
        </w:rPr>
        <w:t xml:space="preserve">Body: </w:t>
      </w:r>
      <w:r>
        <w:rPr>
          <w:color w:val="0B2B2B"/>
          <w:sz w:val="21"/>
          <w:szCs w:val="21"/>
        </w:rPr>
        <w:t xml:space="preserve">Cabinet of Ministers of Ukraine, delivered through partner banks</w:t>
      </w:r>
    </w:p>
    <w:p>
      <w:pPr>
        <w:spacing w:after="40"/>
      </w:pPr>
      <w:r>
        <w:rPr>
          <w:b/>
          <w:bCs/>
          <w:color w:val="0F5C5C"/>
          <w:sz w:val="21"/>
          <w:szCs w:val="21"/>
        </w:rPr>
        <w:t xml:space="preserve">What it offers: </w:t>
      </w:r>
      <w:r>
        <w:rPr>
          <w:color w:val="0B2B2B"/>
          <w:sz w:val="21"/>
          <w:szCs w:val="21"/>
        </w:rPr>
        <w:t xml:space="preserve">State-subsidised low-interest loans for micro, small and medium businesses, including working capital, machinery, land, real-estate reconstruction and solar power; a 0% annual interest "energy loan" up to UAH 10 million (up to 3 years) for cogeneration units/generators/energy equipment; and 0.1% loans in the first two years for businesses restoring war-damaged property</w:t>
      </w:r>
    </w:p>
    <w:p>
      <w:pPr>
        <w:spacing w:after="40"/>
      </w:pPr>
      <w:r>
        <w:rPr>
          <w:b/>
          <w:bCs/>
          <w:color w:val="0F5C5C"/>
          <w:sz w:val="21"/>
          <w:szCs w:val="21"/>
        </w:rPr>
        <w:t xml:space="preserve">Status noted: </w:t>
      </w:r>
      <w:r>
        <w:rPr>
          <w:color w:val="0B2B2B"/>
          <w:sz w:val="21"/>
          <w:szCs w:val="21"/>
        </w:rPr>
        <w:t xml:space="preserve">Agriculture is ~30% of all loans issued under the programme; concessional-lending term for agricultural producers extended to 31 March 2027; over UAH 500 billion attracted programme-wide to date; 35% of new 2026 loans issued in frontline regions</w:t>
      </w:r>
    </w:p>
    <w:p>
      <w:pPr>
        <w:spacing w:after="160"/>
      </w:pPr>
      <w:r>
        <w:rPr>
          <w:b/>
          <w:bCs/>
          <w:color w:val="5A6B60"/>
          <w:sz w:val="20"/>
          <w:szCs w:val="20"/>
        </w:rPr>
        <w:t xml:space="preserve">Source: </w:t>
      </w:r>
      <w:hyperlink w:history="1" r:id="rIdljppmpcuwxzrysjg8_ed5">
        <w:r>
          <w:rPr>
            <w:rStyle w:val="Hyperlink"/>
            <w:color w:val="147575"/>
            <w:sz w:val="20"/>
            <w:szCs w:val="20"/>
          </w:rPr>
          <w:t xml:space="preserve">Affordable Loans at 5-7-9%: Agricultural producers can extend concessional loans for another year — Cabinet of Ministers of Ukraine</w:t>
        </w:r>
      </w:hyperlink>
    </w:p>
    <w:p>
      <w:pPr>
        <w:spacing w:after="160"/>
      </w:pPr>
      <w:r>
        <w:rPr>
          <w:b/>
          <w:bCs/>
          <w:color w:val="5A6B60"/>
          <w:sz w:val="20"/>
          <w:szCs w:val="20"/>
        </w:rPr>
        <w:t xml:space="preserve">Source: </w:t>
      </w:r>
      <w:hyperlink w:history="1" r:id="rIdc45fnj3rdmtog8x-bbvsu">
        <w:r>
          <w:rPr>
            <w:rStyle w:val="Hyperlink"/>
            <w:color w:val="147575"/>
            <w:sz w:val="20"/>
            <w:szCs w:val="20"/>
          </w:rPr>
          <w:t xml:space="preserve">Made in Ukraine: Businesses attracted over UAH 500 billion under the '5-7-9%' programme — Cabinet of Ministers of Ukraine</w:t>
        </w:r>
      </w:hyperlink>
    </w:p>
    <w:p>
      <w:pPr>
        <w:pStyle w:val="Heading1"/>
        <w:spacing w:after="140" w:before="320"/>
      </w:pPr>
      <w:r>
        <w:rPr>
          <w:b/>
          <w:bCs/>
          <w:color w:val="0F5C5C"/>
          <w:sz w:val="28"/>
          <w:szCs w:val="28"/>
        </w:rPr>
        <w:t xml:space="preserve">2. European Union Programmes</w:t>
      </w:r>
    </w:p>
    <w:p>
      <w:pPr>
        <w:pStyle w:val="Heading2"/>
        <w:spacing w:after="100" w:before="240"/>
      </w:pPr>
      <w:r>
        <w:rPr>
          <w:b/>
          <w:bCs/>
          <w:color w:val="0B2B2B"/>
          <w:sz w:val="24"/>
          <w:szCs w:val="24"/>
        </w:rPr>
        <w:t xml:space="preserve">2.1 Ukraine Facility (2024–2027)</w:t>
      </w:r>
    </w:p>
    <w:p>
      <w:pPr>
        <w:spacing w:after="40"/>
      </w:pPr>
      <w:r>
        <w:rPr>
          <w:b/>
          <w:bCs/>
          <w:color w:val="0F5C5C"/>
          <w:sz w:val="21"/>
          <w:szCs w:val="21"/>
        </w:rPr>
        <w:t xml:space="preserve">Body: </w:t>
      </w:r>
      <w:r>
        <w:rPr>
          <w:color w:val="0B2B2B"/>
          <w:sz w:val="21"/>
          <w:szCs w:val="21"/>
        </w:rPr>
        <w:t xml:space="preserve">European Union</w:t>
      </w:r>
    </w:p>
    <w:p>
      <w:pPr>
        <w:spacing w:after="40"/>
      </w:pPr>
      <w:r>
        <w:rPr>
          <w:b/>
          <w:bCs/>
          <w:color w:val="0F5C5C"/>
          <w:sz w:val="21"/>
          <w:szCs w:val="21"/>
        </w:rPr>
        <w:t xml:space="preserve">What it offers: </w:t>
      </w:r>
      <w:r>
        <w:rPr>
          <w:color w:val="0B2B2B"/>
          <w:sz w:val="21"/>
          <w:szCs w:val="21"/>
        </w:rPr>
        <w:t xml:space="preserve">€50 billion total (€33bn loans / €17bn grants) for budget support, investment and technical assistance 2024–2027, including support for agriculture, SMEs and business development under its Ukraine Plan</w:t>
      </w:r>
    </w:p>
    <w:p>
      <w:pPr>
        <w:spacing w:after="40"/>
      </w:pPr>
      <w:r>
        <w:rPr>
          <w:b/>
          <w:bCs/>
          <w:color w:val="0F5C5C"/>
          <w:sz w:val="21"/>
          <w:szCs w:val="21"/>
        </w:rPr>
        <w:t xml:space="preserve">Status noted: </w:t>
      </w:r>
      <w:r>
        <w:rPr>
          <w:color w:val="0B2B2B"/>
          <w:sz w:val="21"/>
          <w:szCs w:val="21"/>
        </w:rPr>
        <w:t xml:space="preserve">€7.2 billion planned for 2026 and €2.52 billion for 2027; as of 26 June 2026, seven regular payments approved and €42 billion mobilised in total; a further €1.5 billion package aims to unlock €3.4 billion in new investment across energy, education, connectivity, agriculture and small business</w:t>
      </w:r>
    </w:p>
    <w:p>
      <w:pPr>
        <w:spacing w:after="100"/>
      </w:pPr>
      <w:r>
        <w:rPr>
          <w:i/>
          <w:iCs/>
          <w:color w:val="5A6B60"/>
          <w:sz w:val="19"/>
          <w:szCs w:val="19"/>
        </w:rPr>
        <w:t xml:space="preserve">Note: This is a macro-level EU instrument channelled through the Ukrainian government and financial institutions rather than a fund farmers apply to directly — relevant mainly as context on where matching EU money for smaller programmes originates.</w:t>
      </w:r>
    </w:p>
    <w:p>
      <w:pPr>
        <w:spacing w:after="160"/>
      </w:pPr>
      <w:r>
        <w:rPr>
          <w:b/>
          <w:bCs/>
          <w:color w:val="5A6B60"/>
          <w:sz w:val="20"/>
          <w:szCs w:val="20"/>
        </w:rPr>
        <w:t xml:space="preserve">Source: </w:t>
      </w:r>
      <w:hyperlink w:history="1" r:id="rIdezol9u7tdvzko0pr5b_p0">
        <w:r>
          <w:rPr>
            <w:rStyle w:val="Hyperlink"/>
            <w:color w:val="147575"/>
            <w:sz w:val="20"/>
            <w:szCs w:val="20"/>
          </w:rPr>
          <w:t xml:space="preserve">The Ukraine Facility — European Commission</w:t>
        </w:r>
      </w:hyperlink>
    </w:p>
    <w:p>
      <w:pPr>
        <w:spacing w:after="160"/>
      </w:pPr>
      <w:r>
        <w:rPr>
          <w:b/>
          <w:bCs/>
          <w:color w:val="5A6B60"/>
          <w:sz w:val="20"/>
          <w:szCs w:val="20"/>
        </w:rPr>
        <w:t xml:space="preserve">Source: </w:t>
      </w:r>
      <w:hyperlink w:history="1" r:id="rIdx3jrcucd4zqs0tedk7gvm">
        <w:r>
          <w:rPr>
            <w:rStyle w:val="Hyperlink"/>
            <w:color w:val="147575"/>
            <w:sz w:val="20"/>
            <w:szCs w:val="20"/>
          </w:rPr>
          <w:t xml:space="preserve">How Ukraine Is Fulfilling the Ukraine Facility Program — VoxUkraine</w:t>
        </w:r>
      </w:hyperlink>
    </w:p>
    <w:p>
      <w:pPr>
        <w:pStyle w:val="Heading2"/>
        <w:spacing w:after="100" w:before="240"/>
      </w:pPr>
      <w:r>
        <w:rPr>
          <w:b/>
          <w:bCs/>
          <w:color w:val="0B2B2B"/>
          <w:sz w:val="24"/>
          <w:szCs w:val="24"/>
        </w:rPr>
        <w:t xml:space="preserve">2.2 FAO–EU grant cycles (State Agrarian Registry)</w:t>
      </w:r>
    </w:p>
    <w:p>
      <w:pPr>
        <w:spacing w:after="40"/>
      </w:pPr>
      <w:r>
        <w:rPr>
          <w:b/>
          <w:bCs/>
          <w:color w:val="0F5C5C"/>
          <w:sz w:val="21"/>
          <w:szCs w:val="21"/>
        </w:rPr>
        <w:t xml:space="preserve">Body: </w:t>
      </w:r>
      <w:r>
        <w:rPr>
          <w:color w:val="0B2B2B"/>
          <w:sz w:val="21"/>
          <w:szCs w:val="21"/>
        </w:rPr>
        <w:t xml:space="preserve">UN Food and Agriculture Organization (FAO), with financing from the European Union, delivered via Ukraine's Ministry of Economy and the State Agrarian Registry</w:t>
      </w:r>
    </w:p>
    <w:p>
      <w:pPr>
        <w:spacing w:after="40"/>
      </w:pPr>
      <w:r>
        <w:rPr>
          <w:b/>
          <w:bCs/>
          <w:color w:val="0F5C5C"/>
          <w:sz w:val="21"/>
          <w:szCs w:val="21"/>
        </w:rPr>
        <w:t xml:space="preserve">What it offers: </w:t>
      </w:r>
      <w:r>
        <w:rPr>
          <w:color w:val="0B2B2B"/>
          <w:sz w:val="21"/>
          <w:szCs w:val="21"/>
        </w:rPr>
        <w:t xml:space="preserve">Grants for equipment, "green" technology and processing-capacity investment for small-scale producers and small agricultural enterprises/cooperatives</w:t>
      </w:r>
    </w:p>
    <w:p>
      <w:pPr>
        <w:spacing w:after="40"/>
      </w:pPr>
      <w:r>
        <w:rPr>
          <w:b/>
          <w:bCs/>
          <w:color w:val="0F5C5C"/>
          <w:sz w:val="21"/>
          <w:szCs w:val="21"/>
        </w:rPr>
        <w:t xml:space="preserve">Amount: </w:t>
      </w:r>
      <w:r>
        <w:rPr>
          <w:color w:val="0B2B2B"/>
          <w:sz w:val="21"/>
          <w:szCs w:val="21"/>
        </w:rPr>
        <w:t xml:space="preserve">Up to UAH 440,500 (≈USD 10,000) for small-scale agricultural producers; up to UAH 1,101,250 (≈USD 25,000) for micro/small enterprises, cooperatives, and geographical-indication producer associations</w:t>
      </w:r>
    </w:p>
    <w:p>
      <w:pPr>
        <w:spacing w:after="40"/>
      </w:pPr>
      <w:r>
        <w:rPr>
          <w:b/>
          <w:bCs/>
          <w:color w:val="0F5C5C"/>
          <w:sz w:val="21"/>
          <w:szCs w:val="21"/>
        </w:rPr>
        <w:t xml:space="preserve">Deadlines noted: </w:t>
      </w:r>
      <w:r>
        <w:rPr>
          <w:color w:val="0B2B2B"/>
          <w:sz w:val="21"/>
          <w:szCs w:val="21"/>
        </w:rPr>
        <w:t xml:space="preserve">This is the fourth cycle of the programme; one 2026 intake closed 17 April 2026 (aggregation models for small-scale farmers) and another closed 14 June 2026 — both for regions specified by the programme. Apply for the next open cycle via the State Agrarian Registry; do not assume these specific dates are still open.</w:t>
      </w:r>
    </w:p>
    <w:p>
      <w:pPr>
        <w:spacing w:after="160"/>
      </w:pPr>
      <w:r>
        <w:rPr>
          <w:b/>
          <w:bCs/>
          <w:color w:val="5A6B60"/>
          <w:sz w:val="20"/>
          <w:szCs w:val="20"/>
        </w:rPr>
        <w:t xml:space="preserve">Source: </w:t>
      </w:r>
      <w:hyperlink w:history="1" r:id="rIdt0_tgktiw3ndlwkahxm8m">
        <w:r>
          <w:rPr>
            <w:rStyle w:val="Hyperlink"/>
            <w:color w:val="147575"/>
            <w:sz w:val="20"/>
            <w:szCs w:val="20"/>
          </w:rPr>
          <w:t xml:space="preserve">FAO and the European Union launch fourth grant cycle in the State Agrarian Registry — EEAS Delegation to Ukraine</w:t>
        </w:r>
      </w:hyperlink>
    </w:p>
    <w:p>
      <w:pPr>
        <w:spacing w:after="160"/>
      </w:pPr>
      <w:r>
        <w:rPr>
          <w:b/>
          <w:bCs/>
          <w:color w:val="5A6B60"/>
          <w:sz w:val="20"/>
          <w:szCs w:val="20"/>
        </w:rPr>
        <w:t xml:space="preserve">Source: </w:t>
      </w:r>
      <w:hyperlink w:history="1" r:id="rIdxtdi2k18sdg93sqyrxfmt">
        <w:r>
          <w:rPr>
            <w:rStyle w:val="Hyperlink"/>
            <w:color w:val="147575"/>
            <w:sz w:val="20"/>
            <w:szCs w:val="20"/>
          </w:rPr>
          <w:t xml:space="preserve">Grants of up to 1.1 million UAH for small agrarians — Tridge</w:t>
        </w:r>
      </w:hyperlink>
    </w:p>
    <w:p>
      <w:pPr>
        <w:pStyle w:val="Heading1"/>
        <w:spacing w:after="140" w:before="320"/>
      </w:pPr>
      <w:r>
        <w:rPr>
          <w:b/>
          <w:bCs/>
          <w:color w:val="0F5C5C"/>
          <w:sz w:val="28"/>
          <w:szCs w:val="28"/>
        </w:rPr>
        <w:t xml:space="preserve">3. International Financial Institutions</w:t>
      </w:r>
    </w:p>
    <w:p>
      <w:pPr>
        <w:pStyle w:val="Heading2"/>
        <w:spacing w:after="100" w:before="240"/>
      </w:pPr>
      <w:r>
        <w:rPr>
          <w:b/>
          <w:bCs/>
          <w:color w:val="0B2B2B"/>
          <w:sz w:val="24"/>
          <w:szCs w:val="24"/>
        </w:rPr>
        <w:t xml:space="preserve">3.1 EBRD</w:t>
      </w:r>
    </w:p>
    <w:p>
      <w:pPr>
        <w:spacing w:after="40"/>
      </w:pPr>
      <w:r>
        <w:rPr>
          <w:b/>
          <w:bCs/>
          <w:color w:val="0F5C5C"/>
          <w:sz w:val="21"/>
          <w:szCs w:val="21"/>
        </w:rPr>
        <w:t xml:space="preserve">What it offers: </w:t>
      </w:r>
      <w:r>
        <w:rPr>
          <w:color w:val="0B2B2B"/>
          <w:sz w:val="21"/>
          <w:szCs w:val="21"/>
        </w:rPr>
        <w:t xml:space="preserve">New Horizons technical-cooperation programme supporting investment and innovation in Ukraine's agri-food system (e.g. alternative protein, sustainable intensive agriculture); broader lending and leasing support delivered through partner banks and leasing companies (e.g. OTP Leasing) covering machinery, working capital, land and reconstruction</w:t>
      </w:r>
    </w:p>
    <w:p>
      <w:pPr>
        <w:spacing w:after="40"/>
      </w:pPr>
      <w:r>
        <w:rPr>
          <w:b/>
          <w:bCs/>
          <w:color w:val="0F5C5C"/>
          <w:sz w:val="21"/>
          <w:szCs w:val="21"/>
        </w:rPr>
        <w:t xml:space="preserve">Status noted: </w:t>
      </w:r>
      <w:r>
        <w:rPr>
          <w:color w:val="0B2B2B"/>
          <w:sz w:val="21"/>
          <w:szCs w:val="21"/>
        </w:rPr>
        <w:t xml:space="preserve">EBRD deployed a record €2.9 billion in Ukraine in 2025 (up from €2.4bn in 2024); €40 million direct loan to agribusiness producer MHP with parallel/B-lender financing of a further €60 million</w:t>
      </w:r>
    </w:p>
    <w:p>
      <w:pPr>
        <w:spacing w:after="100"/>
      </w:pPr>
      <w:r>
        <w:rPr>
          <w:i/>
          <w:iCs/>
          <w:color w:val="5A6B60"/>
          <w:sz w:val="19"/>
          <w:szCs w:val="19"/>
        </w:rPr>
        <w:t xml:space="preserve">Note: EBRD support to individual farms is typically indirect — via loans and leasing to partner banks/leasing companies rather than a grant a farmer applies for directly. A farmer would approach a partner bank, not the EBRD itself.</w:t>
      </w:r>
    </w:p>
    <w:p>
      <w:pPr>
        <w:spacing w:after="160"/>
      </w:pPr>
      <w:r>
        <w:rPr>
          <w:b/>
          <w:bCs/>
          <w:color w:val="5A6B60"/>
          <w:sz w:val="20"/>
          <w:szCs w:val="20"/>
        </w:rPr>
        <w:t xml:space="preserve">Source: </w:t>
      </w:r>
      <w:hyperlink w:history="1" r:id="rIdwet-0uxx5ouphgzfo6sig">
        <w:r>
          <w:rPr>
            <w:rStyle w:val="Hyperlink"/>
            <w:color w:val="147575"/>
            <w:sz w:val="20"/>
            <w:szCs w:val="20"/>
          </w:rPr>
          <w:t xml:space="preserve">Boosting Ukraine's agribusiness sector resilience via investment loan — EBRD</w:t>
        </w:r>
      </w:hyperlink>
    </w:p>
    <w:p>
      <w:pPr>
        <w:spacing w:after="160"/>
      </w:pPr>
      <w:r>
        <w:rPr>
          <w:b/>
          <w:bCs/>
          <w:color w:val="5A6B60"/>
          <w:sz w:val="20"/>
          <w:szCs w:val="20"/>
        </w:rPr>
        <w:t xml:space="preserve">Source: </w:t>
      </w:r>
      <w:hyperlink w:history="1" r:id="rIdbqph-5bskifdqfj50qmx9">
        <w:r>
          <w:rPr>
            <w:rStyle w:val="Hyperlink"/>
            <w:color w:val="147575"/>
            <w:sz w:val="20"/>
            <w:szCs w:val="20"/>
          </w:rPr>
          <w:t xml:space="preserve">EBRD launches New Horizons programme — Interfax Ukraine</w:t>
        </w:r>
      </w:hyperlink>
    </w:p>
    <w:p>
      <w:pPr>
        <w:pStyle w:val="Heading2"/>
        <w:spacing w:after="100" w:before="240"/>
      </w:pPr>
      <w:r>
        <w:rPr>
          <w:b/>
          <w:bCs/>
          <w:color w:val="0B2B2B"/>
          <w:sz w:val="24"/>
          <w:szCs w:val="24"/>
        </w:rPr>
        <w:t xml:space="preserve">3.2 World Bank / Ukraine Relief, Recovery, Reconstruction and Reform Trust Fund (URTF)</w:t>
      </w:r>
    </w:p>
    <w:p>
      <w:pPr>
        <w:spacing w:after="40"/>
      </w:pPr>
      <w:r>
        <w:rPr>
          <w:b/>
          <w:bCs/>
          <w:color w:val="0F5C5C"/>
          <w:sz w:val="21"/>
          <w:szCs w:val="21"/>
        </w:rPr>
        <w:t xml:space="preserve">What it offers: </w:t>
      </w:r>
      <w:r>
        <w:rPr>
          <w:color w:val="0B2B2B"/>
          <w:sz w:val="21"/>
          <w:szCs w:val="21"/>
        </w:rPr>
        <w:t xml:space="preserve">The ARISE project (Agriculture Recovery Inclusive Support Emergency) combined a $230 million World Bank loan with a $320 million URTF grant; roughly $50 million of ARISE was earmarked for grants to agricultural producers</w:t>
      </w:r>
    </w:p>
    <w:p>
      <w:pPr>
        <w:spacing w:after="40"/>
      </w:pPr>
      <w:r>
        <w:rPr>
          <w:b/>
          <w:bCs/>
          <w:color w:val="0F5C5C"/>
          <w:sz w:val="21"/>
          <w:szCs w:val="21"/>
        </w:rPr>
        <w:t xml:space="preserve">Status noted: </w:t>
      </w:r>
      <w:r>
        <w:rPr>
          <w:color w:val="0B2B2B"/>
          <w:sz w:val="21"/>
          <w:szCs w:val="21"/>
        </w:rPr>
        <w:t xml:space="preserve">In June 2026, the World Bank Board approved a separate $3.39 billion First Ukraine Jobs and Private Sector Growth Development Policy Operation — a budget-support instrument, not a farmer-facing grant window. Whether new ARISE-style producer grants are open in mid-2026 was not confirmed by search results — verify current status via the World Bank Ukraine country page before citing a specific window as open.</w:t>
      </w:r>
    </w:p>
    <w:p>
      <w:pPr>
        <w:spacing w:after="160"/>
      </w:pPr>
      <w:r>
        <w:rPr>
          <w:b/>
          <w:bCs/>
          <w:color w:val="5A6B60"/>
          <w:sz w:val="20"/>
          <w:szCs w:val="20"/>
        </w:rPr>
        <w:t xml:space="preserve">Source: </w:t>
      </w:r>
      <w:hyperlink w:history="1" r:id="rIdndgeykmvwkse5pkrejwpt">
        <w:r>
          <w:rPr>
            <w:rStyle w:val="Hyperlink"/>
            <w:color w:val="147575"/>
            <w:sz w:val="20"/>
            <w:szCs w:val="20"/>
          </w:rPr>
          <w:t xml:space="preserve">World Bank Group Donor Financing Mechanisms for Supporting Ukraine</w:t>
        </w:r>
      </w:hyperlink>
    </w:p>
    <w:p>
      <w:pPr>
        <w:spacing w:after="160"/>
      </w:pPr>
      <w:r>
        <w:rPr>
          <w:b/>
          <w:bCs/>
          <w:color w:val="5A6B60"/>
          <w:sz w:val="20"/>
          <w:szCs w:val="20"/>
        </w:rPr>
        <w:t xml:space="preserve">Source: </w:t>
      </w:r>
      <w:hyperlink w:history="1" r:id="rIdlotwgsod4zuyx2gn6w7bv">
        <w:r>
          <w:rPr>
            <w:rStyle w:val="Hyperlink"/>
            <w:color w:val="147575"/>
            <w:sz w:val="20"/>
            <w:szCs w:val="20"/>
          </w:rPr>
          <w:t xml:space="preserve">New World Bank Development Policy Operation to Boost Ukraine's Private Sector Financing</w:t>
        </w:r>
      </w:hyperlink>
    </w:p>
    <w:p>
      <w:pPr>
        <w:pStyle w:val="Heading2"/>
        <w:spacing w:after="100" w:before="240"/>
      </w:pPr>
      <w:r>
        <w:rPr>
          <w:b/>
          <w:bCs/>
          <w:color w:val="0B2B2B"/>
          <w:sz w:val="24"/>
          <w:szCs w:val="24"/>
        </w:rPr>
        <w:t xml:space="preserve">3.3 IFC — Economic Resilience Action (ERA) programme</w:t>
      </w:r>
    </w:p>
    <w:p>
      <w:pPr>
        <w:spacing w:after="40"/>
      </w:pPr>
      <w:r>
        <w:rPr>
          <w:b/>
          <w:bCs/>
          <w:color w:val="0F5C5C"/>
          <w:sz w:val="21"/>
          <w:szCs w:val="21"/>
        </w:rPr>
        <w:t xml:space="preserve">What it offers: </w:t>
      </w:r>
      <w:r>
        <w:rPr>
          <w:color w:val="0B2B2B"/>
          <w:sz w:val="21"/>
          <w:szCs w:val="21"/>
        </w:rPr>
        <w:t xml:space="preserve">SME and agribusiness finance, critical imports/exports, energy security and telecom support, largely delivered through partner banks and leasing companies (e.g. a €50 million risk-sharing facility with OTP Leasing, launched August 2025)</w:t>
      </w:r>
    </w:p>
    <w:p>
      <w:pPr>
        <w:spacing w:after="40"/>
      </w:pPr>
      <w:r>
        <w:rPr>
          <w:b/>
          <w:bCs/>
          <w:color w:val="0F5C5C"/>
          <w:sz w:val="21"/>
          <w:szCs w:val="21"/>
        </w:rPr>
        <w:t xml:space="preserve">Status noted: </w:t>
      </w:r>
      <w:r>
        <w:rPr>
          <w:color w:val="0B2B2B"/>
          <w:sz w:val="21"/>
          <w:szCs w:val="21"/>
        </w:rPr>
        <w:t xml:space="preserve">$2.8 billion committed by February 2026, including over $1 billion mobilised from donors; ~$970 million raised from donor governments as of April 2026</w:t>
      </w:r>
    </w:p>
    <w:p>
      <w:pPr>
        <w:spacing w:after="160"/>
      </w:pPr>
      <w:r>
        <w:rPr>
          <w:b/>
          <w:bCs/>
          <w:color w:val="5A6B60"/>
          <w:sz w:val="20"/>
          <w:szCs w:val="20"/>
        </w:rPr>
        <w:t xml:space="preserve">Source: </w:t>
      </w:r>
      <w:hyperlink w:history="1" r:id="rIdopytqzhtgtaf_fj-xn3jm">
        <w:r>
          <w:rPr>
            <w:rStyle w:val="Hyperlink"/>
            <w:color w:val="147575"/>
            <w:sz w:val="20"/>
            <w:szCs w:val="20"/>
          </w:rPr>
          <w:t xml:space="preserve">IFC and OTP Leasing Launch €50 Million Facility to Boost Ukraine's Private Sector</w:t>
        </w:r>
      </w:hyperlink>
    </w:p>
    <w:p>
      <w:pPr>
        <w:pStyle w:val="Heading1"/>
        <w:spacing w:after="140" w:before="320"/>
      </w:pPr>
      <w:r>
        <w:rPr>
          <w:b/>
          <w:bCs/>
          <w:color w:val="0F5C5C"/>
          <w:sz w:val="28"/>
          <w:szCs w:val="28"/>
        </w:rPr>
        <w:t xml:space="preserve">4. US Government (USAID) — important status flag</w:t>
      </w:r>
    </w:p>
    <w:p>
      <w:pPr>
        <w:pBdr>
          <w:top w:val="single" w:color="B23A2E" w:sz="6"/>
          <w:bottom w:val="single" w:color="B23A2E" w:sz="6"/>
          <w:left w:val="single" w:color="B23A2E" w:sz="6"/>
          <w:right w:val="single" w:color="B23A2E" w:sz="6"/>
        </w:pBdr>
        <w:shd w:fill="FBEBE8" w:val="clear"/>
        <w:spacing w:after="200" w:before="120"/>
      </w:pPr>
      <w:r>
        <w:rPr>
          <w:b/>
          <w:bCs/>
          <w:color w:val="B23A2E"/>
          <w:sz w:val="20"/>
          <w:szCs w:val="20"/>
        </w:rPr>
        <w:t xml:space="preserve">⚠ Do not present USAID as a routinely open channel without checking current status first. In 2025, USAID was largely dismantled as a standalone agency and its remaining functions folded into the State Department; Secretary of State Rubio's review reportedly cut roughly 83% of USAID's programmes, and some Ukraine-specific grant agreements (e.g. the Ukraine Energy Support Fund) were terminated outright.</w:t>
      </w:r>
    </w:p>
    <w:p>
      <w:pPr>
        <w:spacing w:after="100"/>
      </w:pPr>
      <w:r>
        <w:rPr>
          <w:color w:val="0B2B2B"/>
          <w:sz w:val="21"/>
          <w:szCs w:val="21"/>
        </w:rPr>
        <w:t xml:space="preserve">Historical context: the USAID AGRI-Ukraine / AGRO initiative (launched July 2022) had, prior to the 2025 restructuring, reached over 15,000 farmers (~34% of Ukraine's agricultural producers) and mobilised over $510 million in private-sector and donor investment, with the U.S. government contributing $350 million of that total.</w:t>
      </w:r>
    </w:p>
    <w:p>
      <w:pPr>
        <w:spacing w:after="100"/>
      </w:pPr>
      <w:r>
        <w:rPr>
          <w:i/>
          <w:iCs/>
          <w:color w:val="0B2B2B"/>
          <w:sz w:val="21"/>
          <w:szCs w:val="21"/>
        </w:rPr>
        <w:t xml:space="preserve">Current status: search results confirm the 2025 agency-wide cuts and at least one terminated Ukraine grant, and note that Congress passed a $50 billion foreign-aid bill in February 2026 and the State Department announced $25 million for Ukrainian children's programmes in March 2026 — but no source found confirms whether farmer-facing AGRI-Ukraine/AGRO grant windows are currently open in mid-2026. Treat any USAID-branded programme as unverified until confirmed on a current State Department or implementing-partner page.</w:t>
      </w:r>
    </w:p>
    <w:p>
      <w:pPr>
        <w:spacing w:after="160"/>
      </w:pPr>
      <w:r>
        <w:rPr>
          <w:b/>
          <w:bCs/>
          <w:color w:val="5A6B60"/>
          <w:sz w:val="20"/>
          <w:szCs w:val="20"/>
        </w:rPr>
        <w:t xml:space="preserve">Source: </w:t>
      </w:r>
      <w:hyperlink w:history="1" r:id="rId3undeyly-iyghrjpvlcfx">
        <w:r>
          <w:rPr>
            <w:rStyle w:val="Hyperlink"/>
            <w:color w:val="147575"/>
            <w:sz w:val="20"/>
            <w:szCs w:val="20"/>
          </w:rPr>
          <w:t xml:space="preserve">'The ashes of USAID': America's new architecture of foreign assistance — Devex</w:t>
        </w:r>
      </w:hyperlink>
    </w:p>
    <w:p>
      <w:pPr>
        <w:spacing w:after="160"/>
      </w:pPr>
      <w:r>
        <w:rPr>
          <w:b/>
          <w:bCs/>
          <w:color w:val="5A6B60"/>
          <w:sz w:val="20"/>
          <w:szCs w:val="20"/>
        </w:rPr>
        <w:t xml:space="preserve">Source: </w:t>
      </w:r>
      <w:hyperlink w:history="1" r:id="rId2b10frm8kgxvor4cjsdxr">
        <w:r>
          <w:rPr>
            <w:rStyle w:val="Hyperlink"/>
            <w:color w:val="147575"/>
            <w:sz w:val="20"/>
            <w:szCs w:val="20"/>
          </w:rPr>
          <w:t xml:space="preserve">Washington orders USAID to suspend projects and funding in Ukraine — Kyiv Independent</w:t>
        </w:r>
      </w:hyperlink>
    </w:p>
    <w:p>
      <w:pPr>
        <w:pStyle w:val="Heading1"/>
        <w:spacing w:after="140" w:before="320"/>
      </w:pPr>
      <w:r>
        <w:rPr>
          <w:b/>
          <w:bCs/>
          <w:color w:val="0F5C5C"/>
          <w:sz w:val="28"/>
          <w:szCs w:val="28"/>
        </w:rPr>
        <w:t xml:space="preserve">5. Grants for women-led and veteran-led farms</w:t>
      </w:r>
    </w:p>
    <w:p>
      <w:pPr>
        <w:pStyle w:val="Heading2"/>
        <w:spacing w:after="100" w:before="240"/>
      </w:pPr>
      <w:r>
        <w:rPr>
          <w:b/>
          <w:bCs/>
          <w:color w:val="0B2B2B"/>
          <w:sz w:val="24"/>
          <w:szCs w:val="24"/>
        </w:rPr>
        <w:t xml:space="preserve">5.1 REDpreneur Women</w:t>
      </w:r>
    </w:p>
    <w:p>
      <w:pPr>
        <w:spacing w:after="40"/>
      </w:pPr>
      <w:r>
        <w:rPr>
          <w:b/>
          <w:bCs/>
          <w:color w:val="0F5C5C"/>
          <w:sz w:val="21"/>
          <w:szCs w:val="21"/>
        </w:rPr>
        <w:t xml:space="preserve">Body: </w:t>
      </w:r>
      <w:r>
        <w:rPr>
          <w:color w:val="0B2B2B"/>
          <w:sz w:val="21"/>
          <w:szCs w:val="21"/>
        </w:rPr>
        <w:t xml:space="preserve">Ukrainian Red Cross Society with the Austrian Red Cross, Ukraine's Ministry of Veterans Affairs and the Ukrainian Veteran Foundation, supported by Austria's NACHBAR IN NOT fund and the Austrian Development Agency</w:t>
      </w:r>
    </w:p>
    <w:p>
      <w:pPr>
        <w:spacing w:after="40"/>
      </w:pPr>
      <w:r>
        <w:rPr>
          <w:b/>
          <w:bCs/>
          <w:color w:val="0F5C5C"/>
          <w:sz w:val="21"/>
          <w:szCs w:val="21"/>
        </w:rPr>
        <w:t xml:space="preserve">What it offers: </w:t>
      </w:r>
      <w:r>
        <w:rPr>
          <w:color w:val="0B2B2B"/>
          <w:sz w:val="21"/>
          <w:szCs w:val="21"/>
        </w:rPr>
        <w:t xml:space="preserve">Grants to women veterans starting or growing a business, including agriculture/food-production ventures</w:t>
      </w:r>
    </w:p>
    <w:p>
      <w:pPr>
        <w:spacing w:after="40"/>
      </w:pPr>
      <w:r>
        <w:rPr>
          <w:b/>
          <w:bCs/>
          <w:color w:val="0F5C5C"/>
          <w:sz w:val="21"/>
          <w:szCs w:val="21"/>
        </w:rPr>
        <w:t xml:space="preserve">Amount: </w:t>
      </w:r>
      <w:r>
        <w:rPr>
          <w:color w:val="0B2B2B"/>
          <w:sz w:val="21"/>
          <w:szCs w:val="21"/>
        </w:rPr>
        <w:t xml:space="preserve">€7,000 per grantee; 23 women veterans funded in the round reported in April 2026, including agricultural and food-production businesses</w:t>
      </w:r>
    </w:p>
    <w:p>
      <w:pPr>
        <w:spacing w:after="160"/>
      </w:pPr>
      <w:r>
        <w:rPr>
          <w:b/>
          <w:bCs/>
          <w:color w:val="5A6B60"/>
          <w:sz w:val="20"/>
          <w:szCs w:val="20"/>
        </w:rPr>
        <w:t xml:space="preserve">Source: </w:t>
      </w:r>
      <w:hyperlink w:history="1" r:id="rId12gdgxfhqojfh-fccprdg">
        <w:r>
          <w:rPr>
            <w:rStyle w:val="Hyperlink"/>
            <w:color w:val="147575"/>
            <w:sz w:val="20"/>
            <w:szCs w:val="20"/>
          </w:rPr>
          <w:t xml:space="preserve">23 women veterans received €7,000 grants under REDpreneur Women — Ukrainian Red Cross Society</w:t>
        </w:r>
      </w:hyperlink>
    </w:p>
    <w:p>
      <w:pPr>
        <w:pStyle w:val="Heading2"/>
        <w:spacing w:after="100" w:before="240"/>
      </w:pPr>
      <w:r>
        <w:rPr>
          <w:b/>
          <w:bCs/>
          <w:color w:val="0B2B2B"/>
          <w:sz w:val="24"/>
          <w:szCs w:val="24"/>
        </w:rPr>
        <w:t xml:space="preserve">5.2 Priority access within general government grants</w:t>
      </w:r>
    </w:p>
    <w:p>
      <w:pPr>
        <w:spacing w:after="100"/>
      </w:pPr>
      <w:r>
        <w:rPr>
          <w:color w:val="0B2B2B"/>
          <w:sz w:val="21"/>
          <w:szCs w:val="21"/>
        </w:rPr>
        <w:t xml:space="preserve">Government start-up and agricultural-project grants (Sections 1.1 and elsewhere) are reported to give priority consideration to veteran-owned, relocated, IDP-run and frontline-region businesses, alongside young entrepreneurs — but no dedicated separate application track specifically for these groups was confirmed in search results beyond REDpreneur Women. Verify current eligibility weighting directly with the Ministry of Economy / Diia before advising a farmer on priority status.</w:t>
      </w:r>
    </w:p>
    <w:p>
      <w:pPr>
        <w:spacing w:after="160"/>
      </w:pPr>
      <w:r>
        <w:rPr>
          <w:b/>
          <w:bCs/>
          <w:color w:val="5A6B60"/>
          <w:sz w:val="20"/>
          <w:szCs w:val="20"/>
        </w:rPr>
        <w:t xml:space="preserve">Source: </w:t>
      </w:r>
      <w:hyperlink w:history="1" r:id="rIdhtvdc6vzh0pyvcgvc_lax">
        <w:r>
          <w:rPr>
            <w:rStyle w:val="Hyperlink"/>
            <w:color w:val="147575"/>
            <w:sz w:val="20"/>
            <w:szCs w:val="20"/>
          </w:rPr>
          <w:t xml:space="preserve">23 female veterans receive grants to develop own businesses under REDpreneur Women — Interfax Ukraine</w:t>
        </w:r>
      </w:hyperlink>
    </w:p>
    <w:p>
      <w:pPr>
        <w:pStyle w:val="Heading1"/>
        <w:spacing w:after="140" w:before="320"/>
      </w:pPr>
      <w:r>
        <w:rPr>
          <w:b/>
          <w:bCs/>
          <w:color w:val="0F5C5C"/>
          <w:sz w:val="28"/>
          <w:szCs w:val="28"/>
        </w:rPr>
        <w:t xml:space="preserve">6. Regional / oblast-level programmes</w:t>
      </w:r>
    </w:p>
    <w:p>
      <w:pPr>
        <w:spacing w:after="100"/>
      </w:pPr>
      <w:r>
        <w:rPr>
          <w:color w:val="0B2B2B"/>
          <w:sz w:val="21"/>
          <w:szCs w:val="21"/>
        </w:rPr>
        <w:t xml:space="preserve">Individual oblasts and city/district military administrations run their own smaller grant programmes on top of national ones, with amounts and rules that vary by region and change often. Two examples found in search results, shown only to illustrate the kind of local programme that exists:</w:t>
      </w:r>
    </w:p>
    <w:p>
      <w:pPr>
        <w:spacing w:after="40"/>
      </w:pPr>
      <w:r>
        <w:rPr>
          <w:b/>
          <w:bCs/>
          <w:color w:val="0F5C5C"/>
          <w:sz w:val="21"/>
          <w:szCs w:val="21"/>
        </w:rPr>
        <w:t xml:space="preserve">Dnipropetrovsk region: </w:t>
      </w:r>
      <w:r>
        <w:rPr>
          <w:color w:val="0B2B2B"/>
          <w:sz w:val="21"/>
          <w:szCs w:val="21"/>
        </w:rPr>
        <w:t xml:space="preserve">A regional programme reported for spring 2026 offering agricultural grants of up to UAH 38,000</w:t>
      </w:r>
    </w:p>
    <w:p>
      <w:pPr>
        <w:spacing w:after="160"/>
      </w:pPr>
      <w:r>
        <w:rPr>
          <w:b/>
          <w:bCs/>
          <w:color w:val="5A6B60"/>
          <w:sz w:val="20"/>
          <w:szCs w:val="20"/>
        </w:rPr>
        <w:t xml:space="preserve">Source: </w:t>
      </w:r>
      <w:hyperlink w:history="1" r:id="rIdystbgbw2ozlduuxfgh7xw">
        <w:r>
          <w:rPr>
            <w:rStyle w:val="Hyperlink"/>
            <w:color w:val="147575"/>
            <w:sz w:val="20"/>
            <w:szCs w:val="20"/>
          </w:rPr>
          <w:t xml:space="preserve">Up to 38,000 UAH in Agricultural Grants Launching in Dnipropetrovsk Region in Spring 2026 — 112.ua</w:t>
        </w:r>
      </w:hyperlink>
    </w:p>
    <w:p>
      <w:pPr>
        <w:spacing w:after="40"/>
      </w:pPr>
      <w:r>
        <w:rPr>
          <w:b/>
          <w:bCs/>
          <w:color w:val="0F5C5C"/>
          <w:sz w:val="21"/>
          <w:szCs w:val="21"/>
        </w:rPr>
        <w:t xml:space="preserve">Siverskodonetsk (city military administration): </w:t>
      </w:r>
      <w:r>
        <w:rPr>
          <w:color w:val="0B2B2B"/>
          <w:sz w:val="21"/>
          <w:szCs w:val="21"/>
        </w:rPr>
        <w:t xml:space="preserve">Publishes a running list of support programmes/grants for agricultural producers relevant to its area, updated periodically</w:t>
      </w:r>
    </w:p>
    <w:p>
      <w:pPr>
        <w:spacing w:after="160"/>
      </w:pPr>
      <w:r>
        <w:rPr>
          <w:b/>
          <w:bCs/>
          <w:color w:val="5A6B60"/>
          <w:sz w:val="20"/>
          <w:szCs w:val="20"/>
        </w:rPr>
        <w:t xml:space="preserve">Source: </w:t>
      </w:r>
      <w:hyperlink w:history="1" r:id="rId8twd_avab5otmpxnobluw">
        <w:r>
          <w:rPr>
            <w:rStyle w:val="Hyperlink"/>
            <w:color w:val="147575"/>
            <w:sz w:val="20"/>
            <w:szCs w:val="20"/>
          </w:rPr>
          <w:t xml:space="preserve">Support programs, grants for agricultural producers, relevant in March 2026 — Siverskodonetsk City Military Administration</w:t>
        </w:r>
      </w:hyperlink>
    </w:p>
    <w:p>
      <w:pPr>
        <w:spacing w:after="100"/>
      </w:pPr>
      <w:r>
        <w:rPr>
          <w:i/>
          <w:iCs/>
          <w:color w:val="5A6B60"/>
          <w:sz w:val="19"/>
          <w:szCs w:val="19"/>
        </w:rPr>
        <w:t xml:space="preserve">Recommendation for Kolos: when a farmer names their oblast, search for that oblast's or city/district military administration's own economic-development page — it often lists a programme not covered nationally.</w:t>
      </w:r>
    </w:p>
    <w:p>
      <w:pPr>
        <w:pStyle w:val="Heading1"/>
        <w:spacing w:after="140" w:before="320"/>
      </w:pPr>
      <w:r>
        <w:rPr>
          <w:b/>
          <w:bCs/>
          <w:color w:val="0F5C5C"/>
          <w:sz w:val="28"/>
          <w:szCs w:val="28"/>
        </w:rPr>
        <w:t xml:space="preserve">7. Key uncertainty flags for Kolos to carry forward</w:t>
      </w:r>
    </w:p>
    <w:p>
      <w:pPr>
        <w:spacing w:after="100"/>
      </w:pPr>
      <w:r>
        <w:rPr>
          <w:color w:val="0B2B2B"/>
          <w:sz w:val="21"/>
          <w:szCs w:val="21"/>
        </w:rPr>
        <w:t xml:space="preserve">• USAID / AGRI-Ukraine status is unconfirmed for mid-2026 (Section 4) — verify before citing.</w:t>
      </w:r>
    </w:p>
    <w:p>
      <w:pPr>
        <w:spacing w:after="100"/>
      </w:pPr>
      <w:r>
        <w:rPr>
          <w:color w:val="0B2B2B"/>
          <w:sz w:val="21"/>
          <w:szCs w:val="21"/>
        </w:rPr>
        <w:t xml:space="preserve">• Several deadlines above (e.g. the FAO-EU April and June 2026 intakes) will likely have closed by the time a farmer reads this — say so, and point them to check for the next cycle rather than stating the old deadline as current.</w:t>
      </w:r>
    </w:p>
    <w:p>
      <w:pPr>
        <w:spacing w:after="100"/>
      </w:pPr>
      <w:r>
        <w:rPr>
          <w:color w:val="0B2B2B"/>
          <w:sz w:val="21"/>
          <w:szCs w:val="21"/>
        </w:rPr>
        <w:t xml:space="preserve">• EBRD, World Bank and IFC support mostly flows through partner banks, leasing companies, or the state budget rather than as direct farmer-facing grants — Kolos should be clear about who a farmer actually applies to.</w:t>
      </w:r>
    </w:p>
    <w:p>
      <w:pPr>
        <w:spacing w:after="100"/>
      </w:pPr>
      <w:r>
        <w:rPr>
          <w:color w:val="0B2B2B"/>
          <w:sz w:val="21"/>
          <w:szCs w:val="21"/>
        </w:rPr>
        <w:t xml:space="preserve">• Amounts in UAH will lose real value to inflation and exchange-rate shifts over time; where a USD/EUR equivalent was given in the source, both figures are included above.</w:t>
      </w:r>
    </w:p>
    <w:p>
      <w:pPr>
        <w:spacing w:after="100"/>
      </w:pPr>
      <w:r>
        <w:rPr>
          <w:color w:val="0B2B2B"/>
          <w:sz w:val="21"/>
          <w:szCs w:val="21"/>
        </w:rPr>
        <w:t xml:space="preserve">• This brief is not exhaustive — oblast-level and sector-niche programmes (e.g. beekeeping, organic certification support) were not systematically searched and may exist.</w:t>
      </w:r>
    </w:p>
    <w:p>
      <w:pPr>
        <w:pBdr>
          <w:bottom w:val="single" w:color="DED6B4" w:sz="4"/>
        </w:pBdr>
        <w:spacing w:after="200" w:before="60"/>
      </w:pPr>
      <w:r>
        <w:t xml:space="preserve"/>
      </w:r>
    </w:p>
    <w:p>
      <w:pPr>
        <w:spacing w:after="100"/>
      </w:pPr>
      <w:r>
        <w:rPr>
          <w:i/>
          <w:iCs/>
          <w:color w:val="5A6B60"/>
          <w:sz w:val="18"/>
          <w:szCs w:val="18"/>
        </w:rPr>
        <w:t xml:space="preserve">Prepared as a research reference for the Kolos funding-advisor project. Not legal or financial advice. All figures and dates are as reported by the cited sources at time of writing and must be re-verified before being relied upon.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zxelbvcesxo8phfwh1ua" Type="http://schemas.openxmlformats.org/officeDocument/2006/relationships/hyperlink" Target="https://en.interfax.com.ua/news/economic/1177210.html" TargetMode="External"/><Relationship Id="rId6jg6jk9ti_zzzl93ccdgp" Type="http://schemas.openxmlformats.org/officeDocument/2006/relationships/hyperlink" Target="https://east-fruit.com/en/exclusive/ukraine-changes-grant-rules-for-vegetable-and-fruit-storage-facilities-why-this-could-become-a-turning-point-for-the-fresh-produce-sector/" TargetMode="External"/><Relationship Id="rId3uzwjdoxblzygfi7v-ttk" Type="http://schemas.openxmlformats.org/officeDocument/2006/relationships/hyperlink" Target="https://www.proagroukraine.com/en/key-areas-of-agricultural-support-in-2026-grants-subsidies-and-agri-insurance/" TargetMode="External"/><Relationship Id="rIdqr1jupa6be3ogcssmqg4e" Type="http://schemas.openxmlformats.org/officeDocument/2006/relationships/hyperlink" Target="https://english.nv.ua/nation/ukraine-to-provide-government-subsidies-for-care-of-cows-goats-and-sheep-details-50598382.html" TargetMode="External"/><Relationship Id="rIdctsrk-vekur5cvlgjxrdf" Type="http://schemas.openxmlformats.org/officeDocument/2006/relationships/hyperlink" Target="https://open4business.com.ua/en/ukrainian-farmers-received-137-mln-uah-in-subsidies-for-goats-and-sheep/" TargetMode="External"/><Relationship Id="rIdgbhqtxxmqnnb0dyzhgys8" Type="http://schemas.openxmlformats.org/officeDocument/2006/relationships/hyperlink" Target="https://agronews.ua/en/news/access-to-credits-grants-and-donor-programs-for-every-farmer-in-ukraine/" TargetMode="External"/><Relationship Id="rIdzve0r1kpwxd_ydlwvicpx" Type="http://schemas.openxmlformats.org/officeDocument/2006/relationships/hyperlink" Target="https://www.proagroukraine.com/en/government-expands-compensation-for-ukrainian-agricultural-machinery/" TargetMode="External"/><Relationship Id="rIdqx2aqvclkkh_9bthfsz3s" Type="http://schemas.openxmlformats.org/officeDocument/2006/relationships/hyperlink" Target="https://www.proagroukraine.com/en/ministry-of-economy-approves-first-2026-compensation-payments-for-agricultural-machinery/" TargetMode="External"/><Relationship Id="rId0-ygpu-i3hjkqlgddgiyr" Type="http://schemas.openxmlformats.org/officeDocument/2006/relationships/hyperlink" Target="https://agronews.ua/en/news/ukraine-plans-to-partially-reimburse-farmers-for-the-cost-of-purchased-fertilizers/" TargetMode="External"/><Relationship Id="rIdegjcdxxagmy7iuroeiihe" Type="http://schemas.openxmlformats.org/officeDocument/2006/relationships/hyperlink" Target="https://agroreview.com/en/newsen/agripolicy/the-list-state-support-programs/" TargetMode="External"/><Relationship Id="rIdsznf1epgxrccsvz5vcvuz" Type="http://schemas.openxmlformats.org/officeDocument/2006/relationships/hyperlink" Target="https://agronews.ua/en/news/ukraine-plans-to-partially-reimburse-farmers-for-the-cost-of-purchased-fertilizers/" TargetMode="External"/><Relationship Id="rIdljppmpcuwxzrysjg8_ed5" Type="http://schemas.openxmlformats.org/officeDocument/2006/relationships/hyperlink" Target="https://www.kmu.gov.ua/en/news/dostupni-kredyty-579-ahrovyrobnyky-zmozhut-prodovzhyty-pilhovi-kredyty-shche-na-rik" TargetMode="External"/><Relationship Id="rIdc45fnj3rdmtog8x-bbvsu" Type="http://schemas.openxmlformats.org/officeDocument/2006/relationships/hyperlink" Target="https://www.kmu.gov.ua/en/news/zrobleno-v-ukraini-biznes-zaluchyv-ponad-500-mlrd-hrn-za-prohramoiu-5-7-9" TargetMode="External"/><Relationship Id="rIdezol9u7tdvzko0pr5b_p0" Type="http://schemas.openxmlformats.org/officeDocument/2006/relationships/hyperlink" Target="https://commission.europa.eu/topics/eu-solidarity-ukraine/eu-assistance-ukraine/ukraine-facility_en" TargetMode="External"/><Relationship Id="rIdx3jrcucd4zqs0tedk7gvm" Type="http://schemas.openxmlformats.org/officeDocument/2006/relationships/hyperlink" Target="https://voxukraine.org/en/how-ukraine-is-fulfilling-the-ukraine-facility-program-e50-billion-from-the-eu-and-an-institutional-test-of-european-integration" TargetMode="External"/><Relationship Id="rIdt0_tgktiw3ndlwkahxm8m" Type="http://schemas.openxmlformats.org/officeDocument/2006/relationships/hyperlink" Target="https://www.eeas.europa.eu/delegations/ukraine/fao-and-european-union-launch-fourth-grant-cycle-state-agrarian-registry-strengthen-resilience_en" TargetMode="External"/><Relationship Id="rIdxtdi2k18sdg93sqyrxfmt" Type="http://schemas.openxmlformats.org/officeDocument/2006/relationships/hyperlink" Target="https://www.tridge.com/news/grants-of-up-to-11-million-uah-for-small-agr-zpmcoiqa" TargetMode="External"/><Relationship Id="rIdwet-0uxx5ouphgzfo6sig" Type="http://schemas.openxmlformats.org/officeDocument/2006/relationships/hyperlink" Target="https://www.ebrd.com/home/news-and-events/news/2025/boosting-ukraine-s-agribusiness-sector-resilience-via-investment.html" TargetMode="External"/><Relationship Id="rIdbqph-5bskifdqfj50qmx9" Type="http://schemas.openxmlformats.org/officeDocument/2006/relationships/hyperlink" Target="https://interfax.com.ua/news/economic/1141428-amp.html" TargetMode="External"/><Relationship Id="rIdndgeykmvwkse5pkrejwpt" Type="http://schemas.openxmlformats.org/officeDocument/2006/relationships/hyperlink" Target="https://www.worldbank.org/en/country/ukraine/brief/world-bank-group-donor-financing-mechanisms-for-supporting-ukraine" TargetMode="External"/><Relationship Id="rIdlotwgsod4zuyx2gn6w7bv" Type="http://schemas.openxmlformats.org/officeDocument/2006/relationships/hyperlink" Target="https://www.worldbank.org/en/news/press-release/2026/06/22/first-ukraine-jobs-and-private-sector-growth-development-policy-operation" TargetMode="External"/><Relationship Id="rIdopytqzhtgtaf_fj-xn3jm" Type="http://schemas.openxmlformats.org/officeDocument/2006/relationships/hyperlink" Target="https://www.ifc.org/en/pressroom/2025/ifc-and-otp-leasing-launch-50-million-facility-to-boost-ukraine-s-private-sector-a" TargetMode="External"/><Relationship Id="rId3undeyly-iyghrjpvlcfx" Type="http://schemas.openxmlformats.org/officeDocument/2006/relationships/hyperlink" Target="https://www.devex.com/news/the-ashes-of-usaid-america-s-new-architecture-of-foreign-assistance-112887" TargetMode="External"/><Relationship Id="rId2b10frm8kgxvor4cjsdxr" Type="http://schemas.openxmlformats.org/officeDocument/2006/relationships/hyperlink" Target="https://kyivindependent.com/suspilne-washington-orders-usaid-to-suspend-projects-and-funding-in-ukraine/" TargetMode="External"/><Relationship Id="rId12gdgxfhqojfh-fccprdg" Type="http://schemas.openxmlformats.org/officeDocument/2006/relationships/hyperlink" Target="https://redcross.org.ua/en/news/2026/04/145669/" TargetMode="External"/><Relationship Id="rIdhtvdc6vzh0pyvcgvc_lax" Type="http://schemas.openxmlformats.org/officeDocument/2006/relationships/hyperlink" Target="https://en.interfax.com.ua/news/general/1160995.html" TargetMode="External"/><Relationship Id="rIdystbgbw2ozlduuxfgh7xw" Type="http://schemas.openxmlformats.org/officeDocument/2006/relationships/hyperlink" Target="https://112.ua/en/navesni-2026-roku-na-dnipropetrovsini-startuut-agrarni-granti-do-38-000-grn-160386" TargetMode="External"/><Relationship Id="rId8twd_avab5otmpxnobluw" Type="http://schemas.openxmlformats.org/officeDocument/2006/relationships/hyperlink" Target="https://sed-rada.gov.ua/en/economic-development-office/announcement/support-programs-grants-agricultural-producers-relevant"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2026-07-22T14:46:04.719Z</dcterms:created>
  <dcterms:modified xsi:type="dcterms:W3CDTF">2026-07-22T14:46:04.723Z</dcterms:modified>
</cp:coreProperties>
</file>

<file path=docProps/custom.xml><?xml version="1.0" encoding="utf-8"?>
<Properties xmlns="http://schemas.openxmlformats.org/officeDocument/2006/custom-properties" xmlns:vt="http://schemas.openxmlformats.org/officeDocument/2006/docPropsVTypes"/>
</file>