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458" w:rsidRDefault="002B6521">
      <w:pPr>
        <w:jc w:val="center"/>
        <w:rPr>
          <w:b/>
        </w:rPr>
      </w:pPr>
      <w:r>
        <w:rPr>
          <w:b/>
        </w:rPr>
        <w:t>{{county}}</w:t>
      </w:r>
    </w:p>
    <w:p w:rsidR="008F2458" w:rsidRDefault="00FE7B49">
      <w:pPr>
        <w:jc w:val="center"/>
        <w:rPr>
          <w:b/>
        </w:rPr>
      </w:pPr>
      <w:r>
        <w:rPr>
          <w:b/>
        </w:rPr>
        <w:t xml:space="preserve">School Breakfast Ranking </w:t>
      </w:r>
      <w:r w:rsidR="002B6521">
        <w:rPr>
          <w:b/>
        </w:rPr>
        <w:t>{{year}}</w:t>
      </w:r>
      <w:r>
        <w:rPr>
          <w:b/>
        </w:rPr>
        <w:t xml:space="preserve"> </w:t>
      </w:r>
    </w:p>
    <w:p w:rsidR="008F2458" w:rsidRDefault="00FE7B49">
      <w:pPr>
        <w:jc w:val="center"/>
        <w:rPr>
          <w:sz w:val="20"/>
          <w:szCs w:val="20"/>
        </w:rPr>
      </w:pPr>
      <w:r>
        <w:rPr>
          <w:sz w:val="20"/>
          <w:szCs w:val="20"/>
        </w:rPr>
        <w:t xml:space="preserve"> </w:t>
      </w:r>
    </w:p>
    <w:p w:rsidR="008F2458" w:rsidRDefault="00FE7B49">
      <w:pPr>
        <w:jc w:val="center"/>
        <w:rPr>
          <w:sz w:val="20"/>
          <w:szCs w:val="20"/>
        </w:rPr>
      </w:pPr>
      <w:r>
        <w:rPr>
          <w:sz w:val="20"/>
          <w:szCs w:val="20"/>
        </w:rPr>
        <w:t>The School Breakfast Program provides healthy and inexpensive meals to children in Georgia before the start of the school day.  The Atlanta Community Food Bank Child Nutrition Program has created a Breakfast Ranking to highlight the performance of county a</w:t>
      </w:r>
      <w:r>
        <w:rPr>
          <w:sz w:val="20"/>
          <w:szCs w:val="20"/>
        </w:rPr>
        <w:t>nd city district breakfast programs.  The metric used to assign each county a rank is based on how many children participate in school breakfast per every 100 who are participating in free and reduced lunch. The goal is that every school exceeds 70 student</w:t>
      </w:r>
      <w:r>
        <w:rPr>
          <w:sz w:val="20"/>
          <w:szCs w:val="20"/>
        </w:rPr>
        <w:t xml:space="preserve">s per every 100 participating in free and reduced lunch. </w:t>
      </w:r>
    </w:p>
    <w:p w:rsidR="008F2458" w:rsidRDefault="00FE7B49">
      <w:pPr>
        <w:spacing w:line="240" w:lineRule="auto"/>
        <w:rPr>
          <w:sz w:val="21"/>
          <w:szCs w:val="21"/>
        </w:rPr>
      </w:pPr>
      <w:r>
        <w:rPr>
          <w:sz w:val="21"/>
          <w:szCs w:val="21"/>
        </w:rPr>
        <w:t xml:space="preserve">  </w:t>
      </w:r>
    </w:p>
    <w:tbl>
      <w:tblPr>
        <w:tblStyle w:val="a"/>
        <w:tblW w:w="10680" w:type="dxa"/>
        <w:tblInd w:w="-275" w:type="dxa"/>
        <w:tblBorders>
          <w:top w:val="nil"/>
          <w:left w:val="nil"/>
          <w:bottom w:val="nil"/>
          <w:right w:val="nil"/>
          <w:insideH w:val="nil"/>
          <w:insideV w:val="nil"/>
        </w:tblBorders>
        <w:tblLayout w:type="fixed"/>
        <w:tblLook w:val="0600" w:firstRow="0" w:lastRow="0" w:firstColumn="0" w:lastColumn="0" w:noHBand="1" w:noVBand="1"/>
      </w:tblPr>
      <w:tblGrid>
        <w:gridCol w:w="2850"/>
        <w:gridCol w:w="1980"/>
        <w:gridCol w:w="1980"/>
        <w:gridCol w:w="2055"/>
        <w:gridCol w:w="1815"/>
      </w:tblGrid>
      <w:tr w:rsidR="008F2458">
        <w:trPr>
          <w:trHeight w:val="420"/>
        </w:trPr>
        <w:tc>
          <w:tcPr>
            <w:tcW w:w="28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8F2458" w:rsidRDefault="00FE7B49">
            <w:pPr>
              <w:rPr>
                <w:b/>
              </w:rPr>
            </w:pPr>
            <w:r>
              <w:rPr>
                <w:b/>
              </w:rPr>
              <w:t xml:space="preserve"> Ranking</w:t>
            </w:r>
          </w:p>
        </w:tc>
        <w:tc>
          <w:tcPr>
            <w:tcW w:w="198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8F2458" w:rsidRDefault="00FE7B49">
            <w:pPr>
              <w:rPr>
                <w:b/>
                <w:sz w:val="21"/>
                <w:szCs w:val="21"/>
              </w:rPr>
            </w:pPr>
            <w:r>
              <w:rPr>
                <w:b/>
                <w:sz w:val="21"/>
                <w:szCs w:val="21"/>
              </w:rPr>
              <w:t xml:space="preserve">Platinum </w:t>
            </w:r>
          </w:p>
        </w:tc>
        <w:tc>
          <w:tcPr>
            <w:tcW w:w="198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8F2458" w:rsidRDefault="00FE7B49">
            <w:pPr>
              <w:rPr>
                <w:b/>
                <w:sz w:val="21"/>
                <w:szCs w:val="21"/>
              </w:rPr>
            </w:pPr>
            <w:r>
              <w:rPr>
                <w:b/>
                <w:sz w:val="21"/>
                <w:szCs w:val="21"/>
              </w:rPr>
              <w:t>Gold</w:t>
            </w:r>
          </w:p>
        </w:tc>
        <w:tc>
          <w:tcPr>
            <w:tcW w:w="205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8F2458" w:rsidRDefault="00FE7B49">
            <w:pPr>
              <w:rPr>
                <w:b/>
                <w:sz w:val="21"/>
                <w:szCs w:val="21"/>
              </w:rPr>
            </w:pPr>
            <w:r>
              <w:rPr>
                <w:b/>
                <w:sz w:val="21"/>
                <w:szCs w:val="21"/>
              </w:rPr>
              <w:t>Silver</w:t>
            </w:r>
          </w:p>
        </w:tc>
        <w:tc>
          <w:tcPr>
            <w:tcW w:w="18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8F2458" w:rsidRDefault="00FE7B49">
            <w:pPr>
              <w:rPr>
                <w:b/>
                <w:sz w:val="21"/>
                <w:szCs w:val="21"/>
              </w:rPr>
            </w:pPr>
            <w:r>
              <w:rPr>
                <w:b/>
                <w:sz w:val="21"/>
                <w:szCs w:val="21"/>
              </w:rPr>
              <w:t>Bronze</w:t>
            </w:r>
          </w:p>
        </w:tc>
      </w:tr>
      <w:tr w:rsidR="008F2458">
        <w:trPr>
          <w:trHeight w:val="2160"/>
        </w:trPr>
        <w:tc>
          <w:tcPr>
            <w:tcW w:w="28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F2458" w:rsidRDefault="00FE7B49">
            <w:pPr>
              <w:rPr>
                <w:b/>
                <w:sz w:val="20"/>
                <w:szCs w:val="20"/>
              </w:rPr>
            </w:pPr>
            <w:r>
              <w:rPr>
                <w:b/>
                <w:sz w:val="20"/>
                <w:szCs w:val="20"/>
              </w:rPr>
              <w:t>Breakfast Ranking: Number of students participating in breakfast per every 100 enrolled in Free and Reduced Lunch</w:t>
            </w:r>
          </w:p>
        </w:tc>
        <w:tc>
          <w:tcPr>
            <w:tcW w:w="1980" w:type="dxa"/>
            <w:tcBorders>
              <w:top w:val="nil"/>
              <w:left w:val="nil"/>
              <w:bottom w:val="single" w:sz="7" w:space="0" w:color="000000"/>
              <w:right w:val="single" w:sz="7" w:space="0" w:color="000000"/>
            </w:tcBorders>
            <w:tcMar>
              <w:top w:w="100" w:type="dxa"/>
              <w:left w:w="100" w:type="dxa"/>
              <w:bottom w:w="100" w:type="dxa"/>
              <w:right w:w="100" w:type="dxa"/>
            </w:tcMar>
          </w:tcPr>
          <w:p w:rsidR="008F2458" w:rsidRDefault="00FE7B49">
            <w:pPr>
              <w:jc w:val="center"/>
              <w:rPr>
                <w:sz w:val="18"/>
                <w:szCs w:val="18"/>
              </w:rPr>
            </w:pPr>
            <w:r>
              <w:rPr>
                <w:b/>
                <w:sz w:val="21"/>
                <w:szCs w:val="21"/>
              </w:rPr>
              <w:t xml:space="preserve">70 - 100 Students </w:t>
            </w:r>
            <w:r>
              <w:rPr>
                <w:sz w:val="18"/>
                <w:szCs w:val="18"/>
              </w:rPr>
              <w:t>Exemplary districts meet</w:t>
            </w:r>
            <w:r>
              <w:rPr>
                <w:sz w:val="18"/>
                <w:szCs w:val="18"/>
              </w:rPr>
              <w:t xml:space="preserve">ing the threshold of 70 students or more eating breakfast for every 100 eating lunch. </w:t>
            </w:r>
          </w:p>
        </w:tc>
        <w:tc>
          <w:tcPr>
            <w:tcW w:w="1980" w:type="dxa"/>
            <w:tcBorders>
              <w:top w:val="nil"/>
              <w:left w:val="nil"/>
              <w:bottom w:val="single" w:sz="7" w:space="0" w:color="000000"/>
              <w:right w:val="single" w:sz="7" w:space="0" w:color="000000"/>
            </w:tcBorders>
            <w:tcMar>
              <w:top w:w="100" w:type="dxa"/>
              <w:left w:w="100" w:type="dxa"/>
              <w:bottom w:w="100" w:type="dxa"/>
              <w:right w:w="100" w:type="dxa"/>
            </w:tcMar>
          </w:tcPr>
          <w:p w:rsidR="008F2458" w:rsidRDefault="00FE7B49">
            <w:pPr>
              <w:jc w:val="center"/>
              <w:rPr>
                <w:sz w:val="21"/>
                <w:szCs w:val="21"/>
              </w:rPr>
            </w:pPr>
            <w:r>
              <w:rPr>
                <w:b/>
                <w:sz w:val="21"/>
                <w:szCs w:val="21"/>
              </w:rPr>
              <w:t xml:space="preserve">60 - 69 Students </w:t>
            </w:r>
            <w:r>
              <w:rPr>
                <w:sz w:val="18"/>
                <w:szCs w:val="18"/>
              </w:rPr>
              <w:t>Districts that are performing well, but have a small gap to close in order to reach the desired threshold</w:t>
            </w:r>
            <w:r>
              <w:rPr>
                <w:sz w:val="21"/>
                <w:szCs w:val="21"/>
              </w:rPr>
              <w:t xml:space="preserve">. </w:t>
            </w:r>
          </w:p>
        </w:tc>
        <w:tc>
          <w:tcPr>
            <w:tcW w:w="2055" w:type="dxa"/>
            <w:tcBorders>
              <w:top w:val="nil"/>
              <w:left w:val="nil"/>
              <w:bottom w:val="single" w:sz="7" w:space="0" w:color="000000"/>
              <w:right w:val="single" w:sz="7" w:space="0" w:color="000000"/>
            </w:tcBorders>
            <w:tcMar>
              <w:top w:w="100" w:type="dxa"/>
              <w:left w:w="100" w:type="dxa"/>
              <w:bottom w:w="100" w:type="dxa"/>
              <w:right w:w="100" w:type="dxa"/>
            </w:tcMar>
          </w:tcPr>
          <w:p w:rsidR="008F2458" w:rsidRDefault="00FE7B49">
            <w:pPr>
              <w:jc w:val="center"/>
              <w:rPr>
                <w:sz w:val="18"/>
                <w:szCs w:val="18"/>
              </w:rPr>
            </w:pPr>
            <w:r>
              <w:rPr>
                <w:b/>
                <w:sz w:val="21"/>
                <w:szCs w:val="21"/>
              </w:rPr>
              <w:t>50 - 59 Students</w:t>
            </w:r>
            <w:r>
              <w:rPr>
                <w:sz w:val="21"/>
                <w:szCs w:val="21"/>
              </w:rPr>
              <w:t xml:space="preserve"> </w:t>
            </w:r>
            <w:r>
              <w:rPr>
                <w:sz w:val="18"/>
                <w:szCs w:val="18"/>
              </w:rPr>
              <w:t xml:space="preserve">Districts serving less than 60 students breakfast for every 100 eating lunch. Good candidates for alternative breakfast </w:t>
            </w:r>
            <w:proofErr w:type="gramStart"/>
            <w:r>
              <w:rPr>
                <w:sz w:val="18"/>
                <w:szCs w:val="18"/>
              </w:rPr>
              <w:t>models .</w:t>
            </w:r>
            <w:proofErr w:type="gramEnd"/>
          </w:p>
        </w:tc>
        <w:tc>
          <w:tcPr>
            <w:tcW w:w="1815" w:type="dxa"/>
            <w:tcBorders>
              <w:top w:val="nil"/>
              <w:left w:val="nil"/>
              <w:bottom w:val="single" w:sz="7" w:space="0" w:color="000000"/>
              <w:right w:val="single" w:sz="7" w:space="0" w:color="000000"/>
            </w:tcBorders>
            <w:tcMar>
              <w:top w:w="100" w:type="dxa"/>
              <w:left w:w="100" w:type="dxa"/>
              <w:bottom w:w="100" w:type="dxa"/>
              <w:right w:w="100" w:type="dxa"/>
            </w:tcMar>
          </w:tcPr>
          <w:p w:rsidR="008F2458" w:rsidRDefault="00FE7B49">
            <w:pPr>
              <w:jc w:val="center"/>
              <w:rPr>
                <w:sz w:val="18"/>
                <w:szCs w:val="18"/>
              </w:rPr>
            </w:pPr>
            <w:r>
              <w:rPr>
                <w:b/>
                <w:sz w:val="21"/>
                <w:szCs w:val="21"/>
              </w:rPr>
              <w:t xml:space="preserve">49 Students and Below </w:t>
            </w:r>
            <w:r>
              <w:rPr>
                <w:sz w:val="18"/>
                <w:szCs w:val="18"/>
              </w:rPr>
              <w:t xml:space="preserve">Districts serving less than 50 students breakfast for every </w:t>
            </w:r>
            <w:proofErr w:type="gramStart"/>
            <w:r>
              <w:rPr>
                <w:sz w:val="18"/>
                <w:szCs w:val="18"/>
              </w:rPr>
              <w:t>100 eating</w:t>
            </w:r>
            <w:proofErr w:type="gramEnd"/>
            <w:r>
              <w:rPr>
                <w:sz w:val="18"/>
                <w:szCs w:val="18"/>
              </w:rPr>
              <w:t xml:space="preserve"> lunch.  Room for improvement.</w:t>
            </w:r>
          </w:p>
        </w:tc>
      </w:tr>
    </w:tbl>
    <w:p w:rsidR="008F2458" w:rsidRDefault="00FE7B49">
      <w:pPr>
        <w:rPr>
          <w:sz w:val="21"/>
          <w:szCs w:val="21"/>
        </w:rPr>
      </w:pPr>
      <w:r>
        <w:rPr>
          <w:sz w:val="21"/>
          <w:szCs w:val="21"/>
        </w:rPr>
        <w:t xml:space="preserve"> </w:t>
      </w:r>
    </w:p>
    <w:p w:rsidR="008F2458" w:rsidRDefault="00FE7B49">
      <w:pPr>
        <w:jc w:val="center"/>
        <w:rPr>
          <w:sz w:val="21"/>
          <w:szCs w:val="21"/>
        </w:rPr>
      </w:pPr>
      <w:r>
        <w:rPr>
          <w:sz w:val="21"/>
          <w:szCs w:val="21"/>
        </w:rPr>
        <w:t xml:space="preserve"> </w:t>
      </w:r>
      <w:r w:rsidR="002B6521">
        <w:rPr>
          <w:sz w:val="21"/>
          <w:szCs w:val="21"/>
        </w:rPr>
        <w:t xml:space="preserve">{{county}} </w:t>
      </w:r>
      <w:r>
        <w:rPr>
          <w:sz w:val="21"/>
          <w:szCs w:val="21"/>
        </w:rPr>
        <w:t>School Breakfast Rank</w:t>
      </w:r>
    </w:p>
    <w:p w:rsidR="008F2458" w:rsidRDefault="00382AF8">
      <w:pPr>
        <w:jc w:val="center"/>
        <w:rPr>
          <w:b/>
          <w:i/>
          <w:sz w:val="16"/>
          <w:szCs w:val="16"/>
          <w:u w:val="single"/>
        </w:rPr>
      </w:pPr>
      <w:r>
        <w:rPr>
          <w:b/>
          <w:color w:val="E26329"/>
          <w:sz w:val="36"/>
          <w:szCs w:val="36"/>
        </w:rPr>
        <w:t>{{grade</w:t>
      </w:r>
      <w:r w:rsidR="002B6521">
        <w:rPr>
          <w:b/>
          <w:color w:val="E26329"/>
          <w:sz w:val="36"/>
          <w:szCs w:val="36"/>
        </w:rPr>
        <w:t>}}</w:t>
      </w:r>
      <w:r w:rsidR="00FE7B49">
        <w:rPr>
          <w:b/>
          <w:i/>
          <w:sz w:val="16"/>
          <w:szCs w:val="16"/>
          <w:u w:val="single"/>
        </w:rPr>
        <w:t xml:space="preserve"> </w:t>
      </w:r>
      <w:bookmarkStart w:id="0" w:name="_GoBack"/>
      <w:bookmarkEnd w:id="0"/>
    </w:p>
    <w:p w:rsidR="008F2458" w:rsidRDefault="008F2458">
      <w:pPr>
        <w:jc w:val="center"/>
        <w:rPr>
          <w:b/>
          <w:i/>
          <w:sz w:val="16"/>
          <w:szCs w:val="16"/>
          <w:u w:val="single"/>
        </w:rPr>
      </w:pPr>
    </w:p>
    <w:p w:rsidR="008F2458" w:rsidRDefault="00FE7B49">
      <w:pPr>
        <w:jc w:val="center"/>
        <w:rPr>
          <w:b/>
          <w:i/>
          <w:sz w:val="20"/>
          <w:szCs w:val="20"/>
          <w:u w:val="single"/>
        </w:rPr>
      </w:pPr>
      <w:r>
        <w:rPr>
          <w:b/>
          <w:i/>
          <w:sz w:val="20"/>
          <w:szCs w:val="20"/>
          <w:u w:val="single"/>
        </w:rPr>
        <w:t>School Breakfast Program</w:t>
      </w:r>
    </w:p>
    <w:p w:rsidR="008F2458" w:rsidRDefault="00FE7B49">
      <w:pPr>
        <w:jc w:val="center"/>
        <w:rPr>
          <w:sz w:val="20"/>
          <w:szCs w:val="20"/>
        </w:rPr>
      </w:pPr>
      <w:r>
        <w:rPr>
          <w:sz w:val="20"/>
          <w:szCs w:val="20"/>
        </w:rPr>
        <w:t>The Food Bank supports and provides resources to schools as they focus on increasing school breakfast participation utilizing alternative breakfast models.  We will be providing capacity building grants, technical assistance and Alternative Breakfast Model</w:t>
      </w:r>
      <w:r>
        <w:rPr>
          <w:sz w:val="20"/>
          <w:szCs w:val="20"/>
        </w:rPr>
        <w:t xml:space="preserve"> support.</w:t>
      </w:r>
    </w:p>
    <w:p w:rsidR="008F2458" w:rsidRDefault="00FE7B49">
      <w:pPr>
        <w:rPr>
          <w:b/>
          <w:sz w:val="20"/>
          <w:szCs w:val="20"/>
        </w:rPr>
      </w:pPr>
      <w:r>
        <w:rPr>
          <w:b/>
          <w:sz w:val="20"/>
          <w:szCs w:val="20"/>
        </w:rPr>
        <w:t xml:space="preserve"> </w:t>
      </w:r>
    </w:p>
    <w:p w:rsidR="008F2458" w:rsidRDefault="00FE7B49">
      <w:pPr>
        <w:spacing w:line="240" w:lineRule="auto"/>
        <w:rPr>
          <w:b/>
          <w:sz w:val="20"/>
          <w:szCs w:val="20"/>
        </w:rPr>
      </w:pPr>
      <w:r>
        <w:rPr>
          <w:b/>
          <w:sz w:val="20"/>
          <w:szCs w:val="20"/>
        </w:rPr>
        <w:t>Alternative Breakfast Models:</w:t>
      </w:r>
    </w:p>
    <w:p w:rsidR="008F2458" w:rsidRDefault="00FE7B49">
      <w:pPr>
        <w:spacing w:line="240" w:lineRule="auto"/>
        <w:rPr>
          <w:sz w:val="20"/>
          <w:szCs w:val="20"/>
        </w:rPr>
      </w:pPr>
      <w:r>
        <w:rPr>
          <w:i/>
          <w:sz w:val="20"/>
          <w:szCs w:val="20"/>
          <w:u w:val="single"/>
        </w:rPr>
        <w:t>Breakfast in the Classroom</w:t>
      </w:r>
      <w:r>
        <w:rPr>
          <w:sz w:val="20"/>
          <w:szCs w:val="20"/>
        </w:rPr>
        <w:t xml:space="preserve"> is a service delivery model where students eat breakfast in their classroom after the official start of the school day.</w:t>
      </w:r>
    </w:p>
    <w:p w:rsidR="008F2458" w:rsidRDefault="00FE7B49">
      <w:pPr>
        <w:spacing w:line="240" w:lineRule="auto"/>
        <w:rPr>
          <w:sz w:val="20"/>
          <w:szCs w:val="20"/>
        </w:rPr>
      </w:pPr>
      <w:r>
        <w:rPr>
          <w:sz w:val="20"/>
          <w:szCs w:val="20"/>
        </w:rPr>
        <w:t xml:space="preserve"> </w:t>
      </w:r>
    </w:p>
    <w:p w:rsidR="008F2458" w:rsidRDefault="00FE7B49">
      <w:pPr>
        <w:spacing w:line="240" w:lineRule="auto"/>
        <w:rPr>
          <w:sz w:val="20"/>
          <w:szCs w:val="20"/>
        </w:rPr>
      </w:pPr>
      <w:r>
        <w:rPr>
          <w:i/>
          <w:sz w:val="20"/>
          <w:szCs w:val="20"/>
          <w:u w:val="single"/>
        </w:rPr>
        <w:t>Grab ‘n’ Go</w:t>
      </w:r>
      <w:r>
        <w:rPr>
          <w:sz w:val="20"/>
          <w:szCs w:val="20"/>
        </w:rPr>
        <w:t xml:space="preserve"> is a service delivery model where students pick up co</w:t>
      </w:r>
      <w:r>
        <w:rPr>
          <w:sz w:val="20"/>
          <w:szCs w:val="20"/>
        </w:rPr>
        <w:t>nveniently packaged breakfasts from mobile service carts in high traffic areas, such as hallways, entryways or cafeterias, when they arrive at school or between classes.</w:t>
      </w:r>
    </w:p>
    <w:p w:rsidR="008F2458" w:rsidRDefault="008F2458">
      <w:pPr>
        <w:spacing w:line="240" w:lineRule="auto"/>
        <w:rPr>
          <w:sz w:val="20"/>
          <w:szCs w:val="20"/>
        </w:rPr>
      </w:pPr>
    </w:p>
    <w:p w:rsidR="008F2458" w:rsidRDefault="00FE7B49">
      <w:pPr>
        <w:spacing w:line="240" w:lineRule="auto"/>
        <w:rPr>
          <w:sz w:val="20"/>
          <w:szCs w:val="20"/>
        </w:rPr>
      </w:pPr>
      <w:r>
        <w:rPr>
          <w:i/>
          <w:sz w:val="20"/>
          <w:szCs w:val="20"/>
          <w:u w:val="single"/>
        </w:rPr>
        <w:t>Second Chance Breakfast</w:t>
      </w:r>
      <w:r>
        <w:rPr>
          <w:sz w:val="20"/>
          <w:szCs w:val="20"/>
        </w:rPr>
        <w:t xml:space="preserve"> refers to a meal service model where students eat breakfast during a break in the morning, often after first period or midway between breakfast and lunch.</w:t>
      </w:r>
    </w:p>
    <w:p w:rsidR="008F2458" w:rsidRDefault="00FE7B49">
      <w:pPr>
        <w:rPr>
          <w:b/>
          <w:sz w:val="20"/>
          <w:szCs w:val="20"/>
        </w:rPr>
      </w:pPr>
      <w:r>
        <w:rPr>
          <w:b/>
          <w:sz w:val="20"/>
          <w:szCs w:val="20"/>
        </w:rPr>
        <w:t xml:space="preserve"> </w:t>
      </w:r>
    </w:p>
    <w:p w:rsidR="008F2458" w:rsidRDefault="00FE7B49">
      <w:pPr>
        <w:rPr>
          <w:b/>
          <w:sz w:val="20"/>
          <w:szCs w:val="20"/>
        </w:rPr>
      </w:pPr>
      <w:r>
        <w:rPr>
          <w:b/>
          <w:sz w:val="20"/>
          <w:szCs w:val="20"/>
        </w:rPr>
        <w:t>How you can help</w:t>
      </w:r>
    </w:p>
    <w:p w:rsidR="008F2458" w:rsidRDefault="00FE7B49">
      <w:pPr>
        <w:rPr>
          <w:sz w:val="20"/>
          <w:szCs w:val="20"/>
        </w:rPr>
      </w:pPr>
      <w:r>
        <w:rPr>
          <w:sz w:val="20"/>
          <w:szCs w:val="20"/>
        </w:rPr>
        <w:t>1.</w:t>
      </w:r>
      <w:r>
        <w:rPr>
          <w:sz w:val="20"/>
          <w:szCs w:val="20"/>
        </w:rPr>
        <w:tab/>
        <w:t>Find out what barriers exist in your local schools that prevent them from tran</w:t>
      </w:r>
      <w:r>
        <w:rPr>
          <w:sz w:val="20"/>
          <w:szCs w:val="20"/>
        </w:rPr>
        <w:t>sitioning from a traditional cafeteria breakfast model to an alternative option like the ones above.</w:t>
      </w:r>
    </w:p>
    <w:p w:rsidR="008F2458" w:rsidRDefault="00FE7B49">
      <w:pPr>
        <w:rPr>
          <w:sz w:val="20"/>
          <w:szCs w:val="20"/>
        </w:rPr>
      </w:pPr>
      <w:r>
        <w:rPr>
          <w:sz w:val="20"/>
          <w:szCs w:val="20"/>
        </w:rPr>
        <w:t>2.</w:t>
      </w:r>
      <w:r>
        <w:rPr>
          <w:sz w:val="20"/>
          <w:szCs w:val="20"/>
        </w:rPr>
        <w:tab/>
        <w:t>Connect with us to find out the next steps for improving your school’s breakfast participation!</w:t>
      </w:r>
    </w:p>
    <w:p w:rsidR="008F2458" w:rsidRDefault="00FE7B49">
      <w:pPr>
        <w:spacing w:line="240" w:lineRule="auto"/>
        <w:rPr>
          <w:sz w:val="20"/>
          <w:szCs w:val="20"/>
        </w:rPr>
      </w:pPr>
      <w:r>
        <w:rPr>
          <w:sz w:val="20"/>
          <w:szCs w:val="20"/>
        </w:rPr>
        <w:t xml:space="preserve"> </w:t>
      </w:r>
    </w:p>
    <w:p w:rsidR="008F2458" w:rsidRDefault="00FE7B49">
      <w:pPr>
        <w:jc w:val="center"/>
      </w:pPr>
      <w:r>
        <w:rPr>
          <w:b/>
          <w:sz w:val="20"/>
          <w:szCs w:val="20"/>
        </w:rPr>
        <w:t xml:space="preserve">For school specific data and to connect around school </w:t>
      </w:r>
      <w:r>
        <w:rPr>
          <w:b/>
          <w:sz w:val="20"/>
          <w:szCs w:val="20"/>
        </w:rPr>
        <w:t xml:space="preserve">breakfast, contact Torey Repetski, Child Nutrition Coordinator </w:t>
      </w:r>
      <w:r>
        <w:rPr>
          <w:b/>
          <w:color w:val="1155CC"/>
          <w:sz w:val="20"/>
          <w:szCs w:val="20"/>
        </w:rPr>
        <w:t>torey.repetski@acfb.org</w:t>
      </w:r>
      <w:r>
        <w:rPr>
          <w:b/>
          <w:sz w:val="20"/>
          <w:szCs w:val="20"/>
        </w:rPr>
        <w:t xml:space="preserve"> 404-892-3333 x1379</w:t>
      </w:r>
    </w:p>
    <w:sectPr w:rsidR="008F2458">
      <w:headerReference w:type="default" r:id="rId6"/>
      <w:footerReference w:type="default" r:id="rId7"/>
      <w:headerReference w:type="first" r:id="rId8"/>
      <w:footerReference w:type="firs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7B49" w:rsidRDefault="00FE7B49">
      <w:pPr>
        <w:spacing w:line="240" w:lineRule="auto"/>
      </w:pPr>
      <w:r>
        <w:separator/>
      </w:r>
    </w:p>
  </w:endnote>
  <w:endnote w:type="continuationSeparator" w:id="0">
    <w:p w:rsidR="00FE7B49" w:rsidRDefault="00FE7B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458" w:rsidRDefault="00FE7B49">
    <w:pPr>
      <w:jc w:val="center"/>
      <w:rPr>
        <w:sz w:val="16"/>
        <w:szCs w:val="16"/>
      </w:rPr>
    </w:pPr>
    <w:r>
      <w:rPr>
        <w:sz w:val="16"/>
        <w:szCs w:val="16"/>
      </w:rPr>
      <w:t xml:space="preserve">*Ranking based on Department of Education Breakfast data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458" w:rsidRDefault="008F24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7B49" w:rsidRDefault="00FE7B49">
      <w:pPr>
        <w:spacing w:line="240" w:lineRule="auto"/>
      </w:pPr>
      <w:r>
        <w:separator/>
      </w:r>
    </w:p>
  </w:footnote>
  <w:footnote w:type="continuationSeparator" w:id="0">
    <w:p w:rsidR="00FE7B49" w:rsidRDefault="00FE7B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458" w:rsidRDefault="008F245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458" w:rsidRDefault="008F245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F2458"/>
    <w:rsid w:val="002B6521"/>
    <w:rsid w:val="00382AF8"/>
    <w:rsid w:val="0059410A"/>
    <w:rsid w:val="008F2458"/>
    <w:rsid w:val="00E35CF4"/>
    <w:rsid w:val="00FE7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5A28A"/>
  <w15:docId w15:val="{9001406C-95AA-4F7C-97B6-709D510C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JanieLee</cp:lastModifiedBy>
  <cp:revision>5</cp:revision>
  <dcterms:created xsi:type="dcterms:W3CDTF">2017-09-26T15:54:00Z</dcterms:created>
  <dcterms:modified xsi:type="dcterms:W3CDTF">2017-09-26T16:19:00Z</dcterms:modified>
</cp:coreProperties>
</file>