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4260" w14:textId="77777777" w:rsidR="009D1098" w:rsidRPr="006D5027" w:rsidRDefault="009D1098" w:rsidP="009D1098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Найти в открытых источниках:</w:t>
      </w:r>
      <w:r>
        <w:rPr>
          <w:rFonts w:ascii="Roboto" w:hAnsi="Roboto"/>
          <w:color w:val="2C2D30"/>
          <w:sz w:val="23"/>
          <w:szCs w:val="23"/>
        </w:rPr>
        <w:br/>
      </w:r>
      <w:r w:rsidRPr="006D5027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1. Что такое шесть сигм и как это связано с качеством?</w:t>
      </w:r>
    </w:p>
    <w:p w14:paraId="7AC8A2E6" w14:textId="793F3944" w:rsidR="009D1098" w:rsidRDefault="009D1098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Одина из методологий, философий,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TQM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. Основан одном из инструментов статистических методов управления качеством – среднеквадратичном отклонении, обозначается σ (сигма), говорит о стандартном отклонении показателей от средней величины и дополнен несколькими принципами. </w:t>
      </w:r>
    </w:p>
    <w:p w14:paraId="4BC517D2" w14:textId="77777777" w:rsidR="006E495B" w:rsidRDefault="00537523" w:rsidP="006E495B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При нормальном течении процесса распределение измеряемых значений выхода процесса (продукции) имеет вид стандартной функции распределения (Гау</w:t>
      </w:r>
      <w:r w:rsidR="006E495B">
        <w:rPr>
          <w:rFonts w:ascii="Roboto" w:hAnsi="Roboto"/>
          <w:color w:val="2C2D30"/>
          <w:sz w:val="23"/>
          <w:szCs w:val="23"/>
          <w:shd w:val="clear" w:color="auto" w:fill="FFFFFF"/>
        </w:rPr>
        <w:t>с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са, вид «колокол»).</w:t>
      </w:r>
      <w:r w:rsidR="006E495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="006E495B">
        <w:rPr>
          <w:rFonts w:ascii="Roboto" w:hAnsi="Roboto"/>
          <w:color w:val="2C2D30"/>
          <w:sz w:val="23"/>
          <w:szCs w:val="23"/>
          <w:shd w:val="clear" w:color="auto" w:fill="FFFFFF"/>
        </w:rPr>
        <w:t>П</w:t>
      </w:r>
      <w:r w:rsidR="006E495B"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роцесс управления качеством 6σ на выходе даёт 99,99966 % выходов без дефектов.</w:t>
      </w:r>
    </w:p>
    <w:p w14:paraId="4165B12C" w14:textId="1CFCB180" w:rsidR="00537523" w:rsidRDefault="006E495B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Суть концепции заключается в том, чтобы, применяя различные методы управления качеством процессов, добиться снижения уровня значения среднеквадратичного отклонения при заданном поле допуска для измеряемых значений выхода процессов. Проще говоря, чтобы измеряемые значения были как можно ближе к среднему значению среди выборки.</w:t>
      </w:r>
    </w:p>
    <w:p w14:paraId="787BCAD1" w14:textId="0360E55E" w:rsidR="00537523" w:rsidRDefault="00537523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Рассчитывается по формуле</w:t>
      </w:r>
      <w:r w:rsidR="006E495B">
        <w:rPr>
          <w:rFonts w:ascii="Roboto" w:hAnsi="Roboto"/>
          <w:color w:val="2C2D30"/>
          <w:sz w:val="23"/>
          <w:szCs w:val="23"/>
          <w:shd w:val="clear" w:color="auto" w:fill="FFFFFF"/>
        </w:rPr>
        <w:t>:</w:t>
      </w:r>
    </w:p>
    <w:p w14:paraId="40180E02" w14:textId="242B488D" w:rsidR="00537523" w:rsidRDefault="006E495B" w:rsidP="009D1098">
      <w:pPr>
        <w:spacing w:after="0"/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</w:pPr>
      <m:oMath>
        <m:r>
          <w:rPr>
            <w:rFonts w:ascii="Cambria Math" w:hAnsi="Cambria Math"/>
            <w:color w:val="2C2D30"/>
            <w:sz w:val="23"/>
            <w:szCs w:val="23"/>
            <w:shd w:val="clear" w:color="auto" w:fill="FFFFFF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color w:val="2C2D30"/>
                <w:sz w:val="23"/>
                <w:szCs w:val="23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C2D30"/>
                        <w:sz w:val="23"/>
                        <w:szCs w:val="23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shd w:val="clear" w:color="auto" w:fill="FFFFFF"/>
                          </w:rPr>
                          <m:t>(x- 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shd w:val="clear" w:color="auto" w:fill="FFFFFF"/>
                  </w:rPr>
                  <m:t>N</m:t>
                </m:r>
              </m:den>
            </m:f>
          </m:e>
        </m:rad>
      </m:oMath>
      <w:r w:rsidRPr="006E495B"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  <w:t>, где</w:t>
      </w:r>
    </w:p>
    <w:p w14:paraId="2B8B0E76" w14:textId="6A5663C2" w:rsidR="006E495B" w:rsidRDefault="006E495B" w:rsidP="009D1098">
      <w:pPr>
        <w:spacing w:after="0"/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</w:pPr>
      <w:r w:rsidRPr="006E495B">
        <w:rPr>
          <w:rFonts w:ascii="Roboto" w:eastAsiaTheme="minorEastAsia" w:hAnsi="Roboto"/>
          <w:color w:val="2C2D30"/>
          <w:sz w:val="23"/>
          <w:szCs w:val="23"/>
          <w:shd w:val="clear" w:color="auto" w:fill="FFFFFF"/>
          <w:lang w:val="en-US"/>
        </w:rPr>
        <w:t>x</w:t>
      </w:r>
      <w:r>
        <w:rPr>
          <w:rFonts w:ascii="Roboto" w:eastAsiaTheme="minorEastAsia" w:hAnsi="Roboto"/>
          <w:i/>
          <w:iCs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6E495B">
        <w:rPr>
          <w:rFonts w:ascii="Roboto" w:eastAsiaTheme="minorEastAsia" w:hAnsi="Roboto"/>
          <w:color w:val="2C2D30"/>
          <w:sz w:val="23"/>
          <w:szCs w:val="23"/>
          <w:shd w:val="clear" w:color="auto" w:fill="FFFFFF"/>
          <w:lang w:val="en-US"/>
        </w:rPr>
        <w:t xml:space="preserve">– </w:t>
      </w:r>
      <w:r w:rsidRPr="006E495B"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  <w:t>значение из выборки;</w:t>
      </w:r>
    </w:p>
    <w:p w14:paraId="0F3DFDB2" w14:textId="28345786" w:rsidR="006E495B" w:rsidRDefault="006E495B" w:rsidP="009D1098">
      <w:pPr>
        <w:spacing w:after="0"/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  <w:t>µ - среднее значение;</w:t>
      </w:r>
    </w:p>
    <w:p w14:paraId="7B0E89E4" w14:textId="40BF3BAB" w:rsidR="006E495B" w:rsidRPr="006E495B" w:rsidRDefault="006E495B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eastAsiaTheme="minorEastAsia" w:hAnsi="Roboto"/>
          <w:color w:val="2C2D30"/>
          <w:sz w:val="23"/>
          <w:szCs w:val="23"/>
          <w:shd w:val="clear" w:color="auto" w:fill="FFFFFF"/>
          <w:lang w:val="en-US"/>
        </w:rPr>
        <w:t xml:space="preserve">N – </w:t>
      </w:r>
      <w:r>
        <w:rPr>
          <w:rFonts w:ascii="Roboto" w:eastAsiaTheme="minorEastAsia" w:hAnsi="Roboto"/>
          <w:color w:val="2C2D30"/>
          <w:sz w:val="23"/>
          <w:szCs w:val="23"/>
          <w:shd w:val="clear" w:color="auto" w:fill="FFFFFF"/>
        </w:rPr>
        <w:t>объем выборки.</w:t>
      </w:r>
    </w:p>
    <w:p w14:paraId="1D38969B" w14:textId="0030A8D8" w:rsidR="00537523" w:rsidRPr="00537523" w:rsidRDefault="00537523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Принципы:</w:t>
      </w:r>
    </w:p>
    <w:p w14:paraId="72DFED01" w14:textId="77777777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для успешного ведения бизнеса необходимо постоянно стремиться к установлению устойчивого и предсказуемого протекания процессов;</w:t>
      </w:r>
    </w:p>
    <w:p w14:paraId="13943F7E" w14:textId="57ACCB1A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5" w:tooltip="KPI" w:history="1">
        <w:r w:rsidRPr="00537523">
          <w:rPr>
            <w:rFonts w:ascii="Roboto" w:hAnsi="Roboto"/>
            <w:color w:val="2C2D30"/>
            <w:sz w:val="23"/>
            <w:szCs w:val="23"/>
            <w:shd w:val="clear" w:color="auto" w:fill="FFFFFF"/>
          </w:rPr>
          <w:t>KPI</w:t>
        </w:r>
      </w:hyperlink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, характеризующие протекание процессов производства и бизнес-процессов, должны быть измеряемыми, контролируемыми и улучшаемыми, а также отражать изменения в протекании процессов;</w:t>
      </w:r>
    </w:p>
    <w:p w14:paraId="39548FA1" w14:textId="33DD0D69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для достижения постоянного улучшения качества необходимо вовлечение </w:t>
      </w:r>
      <w:hyperlink r:id="rId6" w:tooltip="Персонал" w:history="1">
        <w:r w:rsidRPr="00537523">
          <w:rPr>
            <w:rFonts w:ascii="Roboto" w:hAnsi="Roboto"/>
            <w:color w:val="2C2D30"/>
            <w:sz w:val="23"/>
            <w:szCs w:val="23"/>
            <w:shd w:val="clear" w:color="auto" w:fill="FFFFFF"/>
          </w:rPr>
          <w:t>персонала</w:t>
        </w:r>
      </w:hyperlink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 организации на всех уровнях, особенно высшего руководства</w:t>
      </w: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(принцип ответственности руководства);</w:t>
      </w:r>
    </w:p>
    <w:p w14:paraId="137F4504" w14:textId="77777777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искренний интерес к клиенту;</w:t>
      </w:r>
    </w:p>
    <w:p w14:paraId="14875431" w14:textId="77777777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управление на основе данных и фактов;</w:t>
      </w:r>
    </w:p>
    <w:p w14:paraId="26B595F2" w14:textId="77777777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ориентированность на процесс, управление процессом и совершенствование процесса;</w:t>
      </w:r>
    </w:p>
    <w:p w14:paraId="1F463CF5" w14:textId="77777777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проактивное</w:t>
      </w:r>
      <w:proofErr w:type="spellEnd"/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(упреждающее) управление;</w:t>
      </w:r>
    </w:p>
    <w:p w14:paraId="649D46E3" w14:textId="77777777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взаимодействие без границ (прозрачность внутрикорпоративных барьеров);</w:t>
      </w:r>
    </w:p>
    <w:p w14:paraId="00B5620A" w14:textId="4EAA6470" w:rsidR="00537523" w:rsidRPr="00537523" w:rsidRDefault="00537523" w:rsidP="00537523">
      <w:pPr>
        <w:pStyle w:val="a5"/>
        <w:numPr>
          <w:ilvl w:val="0"/>
          <w:numId w:val="6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стремление к совершенству плюс снисходительность к неудачам</w:t>
      </w:r>
      <w:r w:rsidRPr="00537523"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11518348" w14:textId="0D48F8C8" w:rsidR="009D1098" w:rsidRPr="009D1098" w:rsidRDefault="006E495B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Данная методология применяется как для статистической оценки качества процессов, так и для управления изменениями в процессе. Позволяет понять, насколько то или иное изменение повлияло на изначальную «настройку» процесса</w:t>
      </w:r>
      <w:r w:rsidR="00BF1F56">
        <w:rPr>
          <w:rFonts w:ascii="Roboto" w:hAnsi="Roboto"/>
          <w:color w:val="2C2D30"/>
          <w:sz w:val="23"/>
          <w:szCs w:val="23"/>
          <w:shd w:val="clear" w:color="auto" w:fill="FFFFFF"/>
        </w:rPr>
        <w:t>, оценить это влияние и осуществить необходимые действия для стабилизации процесса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. Чаще применяется в совокупности с другими инструментами (5 почему, диаграмма Исикавы и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тд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).</w:t>
      </w:r>
      <w:r w:rsidR="009D1098">
        <w:rPr>
          <w:rFonts w:ascii="Roboto" w:hAnsi="Roboto"/>
          <w:color w:val="2C2D30"/>
          <w:sz w:val="23"/>
          <w:szCs w:val="23"/>
        </w:rPr>
        <w:t xml:space="preserve"> </w:t>
      </w:r>
    </w:p>
    <w:p w14:paraId="273D2ADA" w14:textId="68334100" w:rsidR="009D1098" w:rsidRPr="006D5027" w:rsidRDefault="009D1098" w:rsidP="009D1098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 w:rsidRPr="006D5027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2. Как оценить качество процессов в компании?</w:t>
      </w:r>
    </w:p>
    <w:p w14:paraId="72994088" w14:textId="373D6369" w:rsidR="009D1098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Для простоты применяется показатель затраты\прибыль.</w:t>
      </w:r>
    </w:p>
    <w:p w14:paraId="491B8A83" w14:textId="0D5876C9" w:rsidR="00FD4EA4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Также на моей практике я использовала следующие показатели:</w:t>
      </w:r>
    </w:p>
    <w:p w14:paraId="15D1C7A7" w14:textId="180DF6F6" w:rsidR="00FD4EA4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1) Для каждого бизнес-процесса определялись его четкие показатели результативности и производилась их регулярная оценка. Данные показатели определялись в основном на основе требований потребителей (промежуточных или конечных), политики компании, анализе рисков. Показатели должны быть измеримыми и четкими, должны быть определены допустимые пределы, необходимо минимизировать субъективную оценку;</w:t>
      </w:r>
    </w:p>
    <w:p w14:paraId="6A63A269" w14:textId="7BC75498" w:rsidR="00FD4EA4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2) Качество конечного продукта;</w:t>
      </w:r>
    </w:p>
    <w:p w14:paraId="29055636" w14:textId="235168B9" w:rsidR="00FD4EA4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3) Количество рекламаций или несоответствий, выявленных третьей стороной (конечные потребители, надзорные органы, органы по сертификации);</w:t>
      </w:r>
    </w:p>
    <w:p w14:paraId="052B3E5A" w14:textId="010C29AE" w:rsidR="00FD4EA4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4) Результаты внутренних аудитов.</w:t>
      </w:r>
    </w:p>
    <w:p w14:paraId="4AA79DE6" w14:textId="3CD32D2C" w:rsidR="00FD4EA4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Если показатели оценки процесса неудовлетворительны, то сам процесс подлежит более глубокому анализу причин таких несоответствий.</w:t>
      </w:r>
    </w:p>
    <w:p w14:paraId="0C78D757" w14:textId="1E69FBC8" w:rsidR="00FD4EA4" w:rsidRDefault="00FD4EA4" w:rsidP="009D1098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Показатели подлежат актуализации, обычно проводилась раз в год после окончания процесса анализа со стороны высшего руководства и постановки новых целей в области качества, или внепланово, при каких</w:t>
      </w:r>
      <w:r w:rsidR="002D4DEF">
        <w:rPr>
          <w:rFonts w:ascii="Roboto" w:hAnsi="Roboto"/>
          <w:color w:val="2C2D30"/>
          <w:sz w:val="23"/>
          <w:szCs w:val="23"/>
        </w:rPr>
        <w:t>-</w:t>
      </w:r>
      <w:r>
        <w:rPr>
          <w:rFonts w:ascii="Roboto" w:hAnsi="Roboto"/>
          <w:color w:val="2C2D30"/>
          <w:sz w:val="23"/>
          <w:szCs w:val="23"/>
        </w:rPr>
        <w:t>то значимых изменениях в деятельности компании.</w:t>
      </w:r>
    </w:p>
    <w:p w14:paraId="3B37F1C7" w14:textId="4B3B89EF" w:rsidR="006101FC" w:rsidRPr="006D5027" w:rsidRDefault="009D1098" w:rsidP="009D1098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 w:rsidRPr="006D5027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3. Почему увеличение штата тестировщиков не ведёт к повышению качества продукта?</w:t>
      </w:r>
    </w:p>
    <w:p w14:paraId="46276194" w14:textId="6ACFA478" w:rsidR="00447AAE" w:rsidRDefault="00DF1E0F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Возможны две ситуации:</w:t>
      </w:r>
    </w:p>
    <w:p w14:paraId="3AE58947" w14:textId="32DF3DA8" w:rsidR="00DF1E0F" w:rsidRDefault="00DF1E0F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1) Тестировщиков для нормального течения процесса недостаточно, то есть процесс тестирования на каждом этапе</w:t>
      </w:r>
      <w:r w:rsidR="001153F1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или большинстве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является узким местом. Понять </w:t>
      </w:r>
      <w:r w:rsidR="001153F1">
        <w:rPr>
          <w:rFonts w:ascii="Roboto" w:hAnsi="Roboto"/>
          <w:color w:val="2C2D30"/>
          <w:sz w:val="23"/>
          <w:szCs w:val="23"/>
          <w:shd w:val="clear" w:color="auto" w:fill="FFFFFF"/>
        </w:rPr>
        <w:t>это можно хотя бы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по скоплению запасов незавершенного продукта (кода) непосредственно перед процессом тестирования. В таком случае требуется разобраться в чем причина, вероятно, что количество тестировщиков для данного объема работ действительно недостаточно, тогда увеличение их количества может привести к повышению качества продукта, а именно – сократить </w:t>
      </w:r>
      <w:r w:rsidR="001153F1">
        <w:rPr>
          <w:rFonts w:ascii="Roboto" w:hAnsi="Roboto"/>
          <w:color w:val="2C2D30"/>
          <w:sz w:val="23"/>
          <w:szCs w:val="23"/>
          <w:shd w:val="clear" w:color="auto" w:fill="FFFFFF"/>
        </w:rPr>
        <w:t>время простоя процесса и выпуска готового продукта и сопутствующие этому плюсы;</w:t>
      </w:r>
    </w:p>
    <w:p w14:paraId="7FB42096" w14:textId="66264009" w:rsidR="001153F1" w:rsidRDefault="001153F1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2) Тестировщиком для нормального течения процесса достаточно. В таком случае, увеличив штат тестировщиков, в итоге получим увеличение стоимости процесса при предполагаемой неизменной прибыли процессов, тогда качество процесса по одному из расчетов уменьшится.</w:t>
      </w:r>
    </w:p>
    <w:p w14:paraId="2E5BF7E8" w14:textId="77777777" w:rsidR="00447AAE" w:rsidRDefault="00447AAE" w:rsidP="009D109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05279D72" w14:textId="77777777" w:rsidR="009D1098" w:rsidRDefault="009D1098" w:rsidP="009D1098">
      <w:pPr>
        <w:spacing w:after="0"/>
      </w:pPr>
    </w:p>
    <w:sectPr w:rsidR="009D1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1798"/>
    <w:multiLevelType w:val="hybridMultilevel"/>
    <w:tmpl w:val="95929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2873"/>
    <w:multiLevelType w:val="hybridMultilevel"/>
    <w:tmpl w:val="F2A67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D4D62"/>
    <w:multiLevelType w:val="multilevel"/>
    <w:tmpl w:val="CC00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435A1"/>
    <w:multiLevelType w:val="hybridMultilevel"/>
    <w:tmpl w:val="207E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D2872"/>
    <w:multiLevelType w:val="multilevel"/>
    <w:tmpl w:val="96F2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B30DB"/>
    <w:multiLevelType w:val="hybridMultilevel"/>
    <w:tmpl w:val="E5D83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98"/>
    <w:rsid w:val="001153F1"/>
    <w:rsid w:val="002D4DEF"/>
    <w:rsid w:val="00447AAE"/>
    <w:rsid w:val="00537523"/>
    <w:rsid w:val="006101FC"/>
    <w:rsid w:val="006D5027"/>
    <w:rsid w:val="006E495B"/>
    <w:rsid w:val="009D1098"/>
    <w:rsid w:val="00BF1F56"/>
    <w:rsid w:val="00DF1E0F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C876"/>
  <w15:chartTrackingRefBased/>
  <w15:docId w15:val="{5C3D9203-A52F-464A-B8EF-A443FF4C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5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537523"/>
  </w:style>
  <w:style w:type="paragraph" w:styleId="a5">
    <w:name w:val="List Paragraph"/>
    <w:basedOn w:val="a"/>
    <w:uiPriority w:val="34"/>
    <w:qFormat/>
    <w:rsid w:val="0053752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37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1%81%D0%BE%D0%BD%D0%B0%D0%BB" TargetMode="External"/><Relationship Id="rId5" Type="http://schemas.openxmlformats.org/officeDocument/2006/relationships/hyperlink" Target="https://ru.wikipedia.org/wiki/K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5</cp:revision>
  <dcterms:created xsi:type="dcterms:W3CDTF">2024-12-24T07:14:00Z</dcterms:created>
  <dcterms:modified xsi:type="dcterms:W3CDTF">2024-12-24T08:10:00Z</dcterms:modified>
</cp:coreProperties>
</file>