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12E81"/>
          <w:sz w:val="40"/>
        </w:rPr>
        <w:t>AJT REST API 설계 규칙</w:t>
      </w:r>
    </w:p>
    <w:p>
      <w:r>
        <w:rPr>
          <w:color w:val="64748B"/>
          <w:sz w:val="18"/>
        </w:rPr>
        <w:t>부서: 개발부 · 문서번호: DEV-API-002 · 작성: 서비스팀 정하늘 · 개정 2026-06-30 (v1.0)</w:t>
      </w:r>
    </w:p>
    <w:p>
      <w:r>
        <w:t>프론트엔드·Spring Boot·FastAPI가 공유하는 API 설계 기준이다. 계약(Postman Collection)과 다르게 구현하지 않는다.</w:t>
      </w:r>
    </w:p>
    <w:p>
      <w:r>
        <w:rPr>
          <w:b/>
          <w:color w:val="4338CA"/>
          <w:sz w:val="26"/>
        </w:rPr>
        <w:t>1. URI 규칙</w:t>
      </w:r>
    </w:p>
    <w:p>
      <w:pPr>
        <w:pStyle w:val="ListBullet"/>
      </w:pPr>
      <w:r>
        <w:t>자원은 복수 명사로 표현한다: /wikis, /schedules, /documents</w:t>
      </w:r>
    </w:p>
    <w:p>
      <w:pPr>
        <w:pStyle w:val="ListBullet"/>
      </w:pPr>
      <w:r>
        <w:t>행위는 HTTP 메서드로 표현한다. URI에 동사를 넣지 않는다.</w:t>
      </w:r>
    </w:p>
    <w:p>
      <w:pPr>
        <w:pStyle w:val="ListBullet"/>
      </w:pPr>
      <w:r>
        <w:t>계층은 경로로 표현한다: /wikis/{wikiId}/categories</w:t>
      </w:r>
    </w:p>
    <w:p>
      <w:pPr>
        <w:pStyle w:val="ListBullet"/>
      </w:pPr>
      <w:r>
        <w:t>버전은 접두로 표현한다: /api/v1/...</w:t>
      </w:r>
    </w:p>
    <w:p>
      <w:r>
        <w:rPr>
          <w:b/>
          <w:color w:val="4338CA"/>
          <w:sz w:val="26"/>
        </w:rPr>
        <w:t>2. HTTP 메서드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메서드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용도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성공 코드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조회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생성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PUT/PATCH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삭제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204</w:t>
            </w:r>
          </w:p>
        </w:tc>
      </w:tr>
    </w:tbl>
    <w:p/>
    <w:p>
      <w:r>
        <w:rPr>
          <w:b/>
          <w:color w:val="4338CA"/>
          <w:sz w:val="26"/>
        </w:rPr>
        <w:t>3. 응답 형식</w:t>
      </w:r>
    </w:p>
    <w:p>
      <w:r>
        <w:t>모든 응답은 공통 envelope로 감싼다. 성공은 data 필드에, 오류는 error 필드(code, message)에 담는다. 페이지네이션은 page, size, totalElements를 포함한다.</w:t>
      </w:r>
    </w:p>
    <w:p>
      <w:r>
        <w:rPr>
          <w:b/>
          <w:color w:val="4338CA"/>
          <w:sz w:val="26"/>
        </w:rPr>
        <w:t>4. 오류 코드</w:t>
      </w:r>
    </w:p>
    <w:p>
      <w:pPr>
        <w:pStyle w:val="ListBullet"/>
      </w:pPr>
      <w:r>
        <w:t>400: 잘못된 요청 (검증 실패)</w:t>
      </w:r>
    </w:p>
    <w:p>
      <w:pPr>
        <w:pStyle w:val="ListBullet"/>
      </w:pPr>
      <w:r>
        <w:t>401: 인증 필요</w:t>
      </w:r>
    </w:p>
    <w:p>
      <w:pPr>
        <w:pStyle w:val="ListBullet"/>
      </w:pPr>
      <w:r>
        <w:t>403: 권한 없음 (스코프 밖 자원 접근)</w:t>
      </w:r>
    </w:p>
    <w:p>
      <w:pPr>
        <w:pStyle w:val="ListBullet"/>
      </w:pPr>
      <w:r>
        <w:t>404: 자원 없음</w:t>
      </w:r>
    </w:p>
    <w:p>
      <w:pPr>
        <w:pStyle w:val="ListBullet"/>
      </w:pPr>
      <w:r>
        <w:t>409: 충돌 (중복 등)</w:t>
      </w:r>
    </w:p>
    <w:p>
      <w:r>
        <w:rPr>
          <w:b/>
          <w:color w:val="4338CA"/>
          <w:sz w:val="26"/>
        </w:rPr>
        <w:t>5. 인증</w:t>
      </w:r>
    </w:p>
    <w:p>
      <w:r>
        <w:t>인증은 쿠키 기반 액세스 토큰을 사용한다. 토큰을 프론트엔드 JS에서 저장·조작하지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SDGothicNeo" w:hAnsi="AppleSDGothic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